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6EEA5" w14:textId="4986C378" w:rsidR="00147D0A" w:rsidRPr="00011349" w:rsidRDefault="00BC79DB" w:rsidP="00BC79DB">
      <w:pPr>
        <w:spacing w:after="0" w:line="240" w:lineRule="auto"/>
        <w:rPr>
          <w:b/>
        </w:rPr>
      </w:pPr>
      <w:bookmarkStart w:id="0" w:name="_GoBack"/>
      <w:bookmarkEnd w:id="0"/>
      <w:r w:rsidRPr="00011349">
        <w:rPr>
          <w:b/>
        </w:rPr>
        <w:t>Tomorrow’s Engineers Energy Quest</w:t>
      </w:r>
      <w:r w:rsidR="009C7BD8" w:rsidRPr="00011349">
        <w:rPr>
          <w:b/>
        </w:rPr>
        <w:t xml:space="preserve"> (TEEQ)</w:t>
      </w:r>
    </w:p>
    <w:p w14:paraId="7D541AD8" w14:textId="77777777" w:rsidR="009A7486" w:rsidRPr="00D53C7A" w:rsidRDefault="009A7486" w:rsidP="00BC79DB">
      <w:pPr>
        <w:spacing w:after="0" w:line="240" w:lineRule="auto"/>
        <w:rPr>
          <w:b/>
        </w:rPr>
      </w:pPr>
    </w:p>
    <w:p w14:paraId="2FDD0DEB" w14:textId="46949A9A" w:rsidR="00C84129" w:rsidRDefault="0023523D" w:rsidP="00BC79DB">
      <w:pPr>
        <w:spacing w:after="0" w:line="240" w:lineRule="auto"/>
        <w:rPr>
          <w:b/>
        </w:rPr>
      </w:pPr>
      <w:r>
        <w:rPr>
          <w:b/>
        </w:rPr>
        <w:t>Request for Proposal</w:t>
      </w:r>
    </w:p>
    <w:p w14:paraId="05F31AC2" w14:textId="77777777" w:rsidR="00BF487D" w:rsidRDefault="00BF487D" w:rsidP="00BC79DB">
      <w:pPr>
        <w:spacing w:after="0" w:line="240" w:lineRule="auto"/>
        <w:rPr>
          <w:b/>
        </w:rPr>
      </w:pPr>
    </w:p>
    <w:p w14:paraId="07E1D057" w14:textId="25F1879F" w:rsidR="00BC79DB" w:rsidRDefault="00C84129" w:rsidP="00BC79DB">
      <w:pPr>
        <w:spacing w:after="0" w:line="240" w:lineRule="auto"/>
        <w:rPr>
          <w:b/>
        </w:rPr>
      </w:pPr>
      <w:r>
        <w:rPr>
          <w:b/>
        </w:rPr>
        <w:t>Introduction</w:t>
      </w:r>
    </w:p>
    <w:p w14:paraId="2A433D96" w14:textId="77777777" w:rsidR="0050768F" w:rsidRPr="006270AF" w:rsidRDefault="0050768F" w:rsidP="00BC79DB">
      <w:pPr>
        <w:spacing w:after="0" w:line="240" w:lineRule="auto"/>
        <w:rPr>
          <w:b/>
        </w:rPr>
      </w:pPr>
    </w:p>
    <w:p w14:paraId="5781D402" w14:textId="6DBED75A" w:rsidR="000149BE" w:rsidRPr="006270AF" w:rsidRDefault="004E6515" w:rsidP="0050768F">
      <w:pPr>
        <w:spacing w:after="0" w:line="240" w:lineRule="auto"/>
        <w:rPr>
          <w:bCs/>
        </w:rPr>
      </w:pPr>
      <w:r>
        <w:rPr>
          <w:bCs/>
        </w:rPr>
        <w:t xml:space="preserve">Tomorrow’s Engineers </w:t>
      </w:r>
      <w:r w:rsidR="00A13C7A">
        <w:rPr>
          <w:bCs/>
        </w:rPr>
        <w:t>(TE)</w:t>
      </w:r>
      <w:r w:rsidR="0097402C">
        <w:rPr>
          <w:bCs/>
        </w:rPr>
        <w:t xml:space="preserve"> </w:t>
      </w:r>
      <w:r>
        <w:rPr>
          <w:bCs/>
        </w:rPr>
        <w:t>is</w:t>
      </w:r>
      <w:r w:rsidR="000149BE" w:rsidRPr="006270AF">
        <w:rPr>
          <w:bCs/>
        </w:rPr>
        <w:t xml:space="preserve"> led by the engineering community and provides a platform for employers</w:t>
      </w:r>
      <w:r w:rsidR="005E40FD" w:rsidRPr="006270AF">
        <w:rPr>
          <w:bCs/>
        </w:rPr>
        <w:t xml:space="preserve"> and stakeholders</w:t>
      </w:r>
      <w:r w:rsidR="000149BE" w:rsidRPr="006270AF">
        <w:rPr>
          <w:bCs/>
        </w:rPr>
        <w:t xml:space="preserve"> to work effectively with schools</w:t>
      </w:r>
      <w:r w:rsidR="00F04F6C">
        <w:rPr>
          <w:bCs/>
        </w:rPr>
        <w:t>,</w:t>
      </w:r>
      <w:r w:rsidR="000149BE" w:rsidRPr="006270AF">
        <w:rPr>
          <w:bCs/>
        </w:rPr>
        <w:t xml:space="preserve"> </w:t>
      </w:r>
      <w:r w:rsidR="007113B4" w:rsidRPr="006270AF">
        <w:rPr>
          <w:bCs/>
        </w:rPr>
        <w:t>to</w:t>
      </w:r>
      <w:r w:rsidR="000149BE" w:rsidRPr="006270AF">
        <w:rPr>
          <w:bCs/>
        </w:rPr>
        <w:t xml:space="preserve"> inspire more young people to consider careers in engineering.</w:t>
      </w:r>
      <w:r w:rsidRPr="004E6515">
        <w:rPr>
          <w:bCs/>
        </w:rPr>
        <w:t xml:space="preserve"> </w:t>
      </w:r>
      <w:r>
        <w:rPr>
          <w:bCs/>
        </w:rPr>
        <w:t xml:space="preserve">The </w:t>
      </w:r>
      <w:r w:rsidR="00A13C7A">
        <w:rPr>
          <w:bCs/>
        </w:rPr>
        <w:t xml:space="preserve">Tomorrow’s Engineers </w:t>
      </w:r>
      <w:r w:rsidRPr="006270AF">
        <w:rPr>
          <w:bCs/>
        </w:rPr>
        <w:t xml:space="preserve">Energy Quest </w:t>
      </w:r>
      <w:r w:rsidR="00A13C7A">
        <w:rPr>
          <w:bCs/>
        </w:rPr>
        <w:t xml:space="preserve">(TEEQ) </w:t>
      </w:r>
      <w:r w:rsidRPr="006270AF">
        <w:rPr>
          <w:bCs/>
        </w:rPr>
        <w:t xml:space="preserve">is a key strand within the </w:t>
      </w:r>
      <w:r>
        <w:rPr>
          <w:bCs/>
        </w:rPr>
        <w:t>overall TE p</w:t>
      </w:r>
      <w:r w:rsidRPr="006270AF">
        <w:rPr>
          <w:bCs/>
        </w:rPr>
        <w:t>rogramme</w:t>
      </w:r>
      <w:r>
        <w:rPr>
          <w:bCs/>
        </w:rPr>
        <w:t xml:space="preserve">. Funded by Shell, it is </w:t>
      </w:r>
      <w:r w:rsidRPr="00E94B15">
        <w:rPr>
          <w:rFonts w:ascii="Calibri" w:hAnsi="Calibri" w:cs="Calibri"/>
        </w:rPr>
        <w:t>designed to inspire the next generation of scientists and engineers</w:t>
      </w:r>
      <w:r w:rsidRPr="006270AF">
        <w:rPr>
          <w:bCs/>
        </w:rPr>
        <w:t>.</w:t>
      </w:r>
    </w:p>
    <w:p w14:paraId="64BBB59E" w14:textId="77777777" w:rsidR="00F04F6C" w:rsidRDefault="00F04F6C" w:rsidP="0050768F">
      <w:pPr>
        <w:spacing w:after="0" w:line="240" w:lineRule="auto"/>
        <w:rPr>
          <w:b/>
          <w:bCs/>
        </w:rPr>
      </w:pPr>
    </w:p>
    <w:p w14:paraId="7B133B83" w14:textId="50339417" w:rsidR="00044AF7" w:rsidRDefault="00D95424" w:rsidP="0050768F">
      <w:pPr>
        <w:widowControl w:val="0"/>
        <w:autoSpaceDE w:val="0"/>
        <w:autoSpaceDN w:val="0"/>
        <w:adjustRightInd w:val="0"/>
        <w:spacing w:after="0" w:line="240" w:lineRule="auto"/>
        <w:rPr>
          <w:rFonts w:ascii="Calibri" w:hAnsi="Calibri" w:cs="Calibri"/>
        </w:rPr>
      </w:pPr>
      <w:r>
        <w:rPr>
          <w:rFonts w:ascii="Calibri" w:hAnsi="Calibri" w:cs="Calibri"/>
        </w:rPr>
        <w:t xml:space="preserve">Currently </w:t>
      </w:r>
      <w:r w:rsidR="00F04F6C" w:rsidRPr="00E94B15">
        <w:rPr>
          <w:rFonts w:ascii="Calibri" w:hAnsi="Calibri" w:cs="Calibri"/>
        </w:rPr>
        <w:t>Energy Quest</w:t>
      </w:r>
      <w:r w:rsidR="00F04F6C" w:rsidRPr="009A7486">
        <w:rPr>
          <w:rFonts w:ascii="Calibri" w:hAnsi="Calibri" w:cs="Calibri"/>
        </w:rPr>
        <w:t xml:space="preserve"> is</w:t>
      </w:r>
      <w:r w:rsidR="00F04F6C">
        <w:rPr>
          <w:rFonts w:ascii="Calibri" w:hAnsi="Calibri" w:cs="Calibri"/>
        </w:rPr>
        <w:t xml:space="preserve"> </w:t>
      </w:r>
      <w:r w:rsidR="00902F30">
        <w:rPr>
          <w:rFonts w:ascii="Calibri" w:hAnsi="Calibri" w:cs="Calibri"/>
        </w:rPr>
        <w:t xml:space="preserve">being </w:t>
      </w:r>
      <w:r w:rsidR="00F04F6C">
        <w:rPr>
          <w:rFonts w:ascii="Calibri" w:hAnsi="Calibri" w:cs="Calibri"/>
        </w:rPr>
        <w:t>delivered as</w:t>
      </w:r>
      <w:r>
        <w:rPr>
          <w:rFonts w:ascii="Calibri" w:hAnsi="Calibri" w:cs="Calibri"/>
        </w:rPr>
        <w:t xml:space="preserve"> a two-part project</w:t>
      </w:r>
      <w:r w:rsidR="004E6515">
        <w:rPr>
          <w:rFonts w:ascii="Calibri" w:hAnsi="Calibri" w:cs="Calibri"/>
        </w:rPr>
        <w:t>:</w:t>
      </w:r>
      <w:r w:rsidR="00F04F6C">
        <w:rPr>
          <w:rFonts w:ascii="Calibri" w:hAnsi="Calibri" w:cs="Calibri"/>
        </w:rPr>
        <w:t xml:space="preserve"> </w:t>
      </w:r>
      <w:r w:rsidR="00F04F6C" w:rsidRPr="00E94B15">
        <w:rPr>
          <w:rFonts w:ascii="Calibri" w:hAnsi="Calibri" w:cs="Calibri"/>
        </w:rPr>
        <w:t xml:space="preserve">an in-school workshop </w:t>
      </w:r>
      <w:r w:rsidR="00DA3E76">
        <w:rPr>
          <w:rFonts w:ascii="Calibri" w:hAnsi="Calibri" w:cs="Calibri"/>
        </w:rPr>
        <w:t xml:space="preserve">(The Energiser Event) </w:t>
      </w:r>
      <w:r w:rsidR="00F04F6C" w:rsidRPr="00E94B15">
        <w:rPr>
          <w:rFonts w:ascii="Calibri" w:hAnsi="Calibri" w:cs="Calibri"/>
        </w:rPr>
        <w:t>and follow-on classroom challenge</w:t>
      </w:r>
      <w:r w:rsidR="00DA3E76">
        <w:rPr>
          <w:rFonts w:ascii="Calibri" w:hAnsi="Calibri" w:cs="Calibri"/>
        </w:rPr>
        <w:t xml:space="preserve"> (The Energy Challenge)</w:t>
      </w:r>
      <w:r w:rsidR="004E6515">
        <w:rPr>
          <w:rFonts w:ascii="Calibri" w:hAnsi="Calibri" w:cs="Calibri"/>
        </w:rPr>
        <w:t xml:space="preserve">. </w:t>
      </w:r>
      <w:r w:rsidR="00044AF7">
        <w:t>It is designed to be a repeat intervention and each school receives both parts.</w:t>
      </w:r>
      <w:r w:rsidR="007F7785">
        <w:t xml:space="preserve"> </w:t>
      </w:r>
      <w:r w:rsidR="004E6515">
        <w:rPr>
          <w:rFonts w:ascii="Calibri" w:hAnsi="Calibri" w:cs="Calibri"/>
        </w:rPr>
        <w:t xml:space="preserve">The target audience </w:t>
      </w:r>
      <w:r w:rsidR="00A57E2C">
        <w:rPr>
          <w:rFonts w:ascii="Calibri" w:hAnsi="Calibri" w:cs="Calibri"/>
        </w:rPr>
        <w:t>is</w:t>
      </w:r>
      <w:r w:rsidR="00A13C7A">
        <w:rPr>
          <w:rFonts w:ascii="Calibri" w:hAnsi="Calibri" w:cs="Calibri"/>
        </w:rPr>
        <w:t xml:space="preserve"> secondary</w:t>
      </w:r>
      <w:r w:rsidR="00A57E2C">
        <w:rPr>
          <w:rFonts w:ascii="Calibri" w:hAnsi="Calibri" w:cs="Calibri"/>
        </w:rPr>
        <w:t xml:space="preserve"> students</w:t>
      </w:r>
      <w:r w:rsidR="004E6515">
        <w:rPr>
          <w:rFonts w:ascii="Calibri" w:hAnsi="Calibri" w:cs="Calibri"/>
        </w:rPr>
        <w:t>, aged 11-14</w:t>
      </w:r>
      <w:r w:rsidR="00A13C7A">
        <w:rPr>
          <w:rStyle w:val="FootnoteReference"/>
          <w:rFonts w:ascii="Calibri" w:hAnsi="Calibri" w:cs="Calibri"/>
        </w:rPr>
        <w:footnoteReference w:id="1"/>
      </w:r>
      <w:r w:rsidR="00A57E2C">
        <w:rPr>
          <w:rFonts w:ascii="Calibri" w:hAnsi="Calibri" w:cs="Calibri"/>
        </w:rPr>
        <w:t xml:space="preserve"> and </w:t>
      </w:r>
      <w:r w:rsidR="003F2554">
        <w:rPr>
          <w:rFonts w:ascii="Calibri" w:hAnsi="Calibri" w:cs="Calibri"/>
        </w:rPr>
        <w:t>a</w:t>
      </w:r>
      <w:r w:rsidR="004E6515">
        <w:rPr>
          <w:rFonts w:ascii="Calibri" w:hAnsi="Calibri" w:cs="Calibri"/>
        </w:rPr>
        <w:t xml:space="preserve"> strong engagement </w:t>
      </w:r>
      <w:r w:rsidR="003F2554">
        <w:rPr>
          <w:rFonts w:ascii="Calibri" w:hAnsi="Calibri" w:cs="Calibri"/>
        </w:rPr>
        <w:t xml:space="preserve">with STEM </w:t>
      </w:r>
      <w:r w:rsidR="004E6515">
        <w:rPr>
          <w:rFonts w:ascii="Calibri" w:hAnsi="Calibri" w:cs="Calibri"/>
        </w:rPr>
        <w:t xml:space="preserve">teachers </w:t>
      </w:r>
      <w:r w:rsidR="003F2554">
        <w:rPr>
          <w:rFonts w:ascii="Calibri" w:hAnsi="Calibri" w:cs="Calibri"/>
        </w:rPr>
        <w:t xml:space="preserve">in </w:t>
      </w:r>
      <w:r w:rsidR="004E6515">
        <w:rPr>
          <w:rFonts w:ascii="Calibri" w:hAnsi="Calibri" w:cs="Calibri"/>
        </w:rPr>
        <w:t>target schools</w:t>
      </w:r>
      <w:r w:rsidR="00822D44">
        <w:rPr>
          <w:rFonts w:ascii="Calibri" w:hAnsi="Calibri" w:cs="Calibri"/>
        </w:rPr>
        <w:t xml:space="preserve"> is expected</w:t>
      </w:r>
      <w:r w:rsidR="00F04F6C" w:rsidRPr="00E94B15">
        <w:rPr>
          <w:rFonts w:ascii="Calibri" w:hAnsi="Calibri" w:cs="Calibri"/>
        </w:rPr>
        <w:t xml:space="preserve">. </w:t>
      </w:r>
    </w:p>
    <w:p w14:paraId="52773690" w14:textId="327F130B" w:rsidR="00170590" w:rsidRDefault="00170590" w:rsidP="0050768F">
      <w:pPr>
        <w:widowControl w:val="0"/>
        <w:autoSpaceDE w:val="0"/>
        <w:autoSpaceDN w:val="0"/>
        <w:adjustRightInd w:val="0"/>
        <w:spacing w:after="0" w:line="240" w:lineRule="auto"/>
      </w:pPr>
    </w:p>
    <w:p w14:paraId="744D5B60" w14:textId="12334384" w:rsidR="0097402C" w:rsidRDefault="00D95424" w:rsidP="0050768F">
      <w:pPr>
        <w:spacing w:after="0" w:line="240" w:lineRule="auto"/>
      </w:pPr>
      <w:r>
        <w:t>The overarching aim for TEEQ is:</w:t>
      </w:r>
      <w:r w:rsidR="0097402C">
        <w:t xml:space="preserve"> </w:t>
      </w:r>
      <w:r>
        <w:t>To maximi</w:t>
      </w:r>
      <w:r w:rsidR="004E6515">
        <w:t>s</w:t>
      </w:r>
      <w:r>
        <w:t xml:space="preserve">e the number of young people who make informed subject choices </w:t>
      </w:r>
      <w:r w:rsidR="000C5616">
        <w:t xml:space="preserve">to </w:t>
      </w:r>
      <w:r>
        <w:t>enable them to pursue STEM careers</w:t>
      </w:r>
      <w:r w:rsidR="0050768F">
        <w:t>.</w:t>
      </w:r>
      <w:r w:rsidR="00A13C7A">
        <w:t xml:space="preserve"> </w:t>
      </w:r>
    </w:p>
    <w:p w14:paraId="56ABBA7E" w14:textId="77777777" w:rsidR="0097402C" w:rsidRDefault="0097402C" w:rsidP="0050768F">
      <w:pPr>
        <w:spacing w:after="0" w:line="240" w:lineRule="auto"/>
      </w:pPr>
    </w:p>
    <w:p w14:paraId="0A83BA73" w14:textId="56B77260" w:rsidR="00D95424" w:rsidRDefault="00A13C7A" w:rsidP="0050768F">
      <w:pPr>
        <w:spacing w:after="0" w:line="240" w:lineRule="auto"/>
      </w:pPr>
      <w:r>
        <w:t xml:space="preserve">Whilst </w:t>
      </w:r>
      <w:r w:rsidR="002B366F">
        <w:t xml:space="preserve">programme </w:t>
      </w:r>
      <w:r>
        <w:t>outcome and impact are measured through a range of metrics, they are grouped into four key pillars:</w:t>
      </w:r>
    </w:p>
    <w:p w14:paraId="7A947782" w14:textId="77777777" w:rsidR="00D95424" w:rsidRDefault="00D95424" w:rsidP="0050768F">
      <w:pPr>
        <w:spacing w:after="0" w:line="240" w:lineRule="auto"/>
        <w:jc w:val="both"/>
      </w:pPr>
    </w:p>
    <w:tbl>
      <w:tblPr>
        <w:tblStyle w:val="TableGridLight1"/>
        <w:tblW w:w="0" w:type="auto"/>
        <w:tblLook w:val="04A0" w:firstRow="1" w:lastRow="0" w:firstColumn="1" w:lastColumn="0" w:noHBand="0" w:noVBand="1"/>
      </w:tblPr>
      <w:tblGrid>
        <w:gridCol w:w="1838"/>
        <w:gridCol w:w="7178"/>
      </w:tblGrid>
      <w:tr w:rsidR="00D95424" w14:paraId="27E0CF83" w14:textId="77777777" w:rsidTr="00A2567F">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B9BD19" w14:textId="77777777" w:rsidR="00D95424" w:rsidRDefault="00D95424" w:rsidP="0012329D">
            <w:r>
              <w:t>Perception &amp; knowledge</w:t>
            </w:r>
          </w:p>
        </w:tc>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8401F" w14:textId="77777777" w:rsidR="00D95424" w:rsidRDefault="00D95424" w:rsidP="0050768F">
            <w:pPr>
              <w:jc w:val="both"/>
            </w:pPr>
            <w:r>
              <w:t>Positive perception of engineering and STEM careers; knows what an engineer or scientist does</w:t>
            </w:r>
          </w:p>
        </w:tc>
      </w:tr>
      <w:tr w:rsidR="00D95424" w14:paraId="1C20B773" w14:textId="77777777" w:rsidTr="00A2567F">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859DF1" w14:textId="77777777" w:rsidR="00D95424" w:rsidRDefault="00D95424" w:rsidP="0050768F">
            <w:pPr>
              <w:jc w:val="both"/>
            </w:pPr>
            <w:r>
              <w:t>Aspiration</w:t>
            </w:r>
          </w:p>
        </w:tc>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092015" w14:textId="77777777" w:rsidR="00D95424" w:rsidRDefault="00D95424" w:rsidP="0050768F">
            <w:pPr>
              <w:jc w:val="both"/>
            </w:pPr>
            <w:r>
              <w:t>Aspiration for a career in engineering and STEM, or sees engineering or career in STEM as desirable</w:t>
            </w:r>
          </w:p>
        </w:tc>
      </w:tr>
      <w:tr w:rsidR="00D95424" w14:paraId="7CF8C3B7" w14:textId="77777777" w:rsidTr="00A2567F">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A66F5" w14:textId="77777777" w:rsidR="00D95424" w:rsidRDefault="00D95424" w:rsidP="0050768F">
            <w:pPr>
              <w:jc w:val="both"/>
            </w:pPr>
            <w:r>
              <w:t>Action</w:t>
            </w:r>
          </w:p>
        </w:tc>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BC96FA" w14:textId="500A53F4" w:rsidR="00D95424" w:rsidRDefault="00D95424" w:rsidP="00044AF7">
            <w:pPr>
              <w:jc w:val="both"/>
            </w:pPr>
            <w:r>
              <w:t>Knows which subject choices make a career in engineering or STEM achievable</w:t>
            </w:r>
            <w:r w:rsidR="004E6515">
              <w:t xml:space="preserve">; is more likely to make those choices </w:t>
            </w:r>
          </w:p>
        </w:tc>
      </w:tr>
      <w:tr w:rsidR="00D95424" w14:paraId="08428F60" w14:textId="77777777" w:rsidTr="00A2567F">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94DF2" w14:textId="77777777" w:rsidR="00D95424" w:rsidRDefault="00D95424" w:rsidP="0050768F">
            <w:pPr>
              <w:jc w:val="both"/>
            </w:pPr>
            <w:r>
              <w:t>Diversity</w:t>
            </w:r>
          </w:p>
        </w:tc>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B03087" w14:textId="77777777" w:rsidR="00D95424" w:rsidRDefault="00D95424" w:rsidP="0050768F">
            <w:pPr>
              <w:jc w:val="both"/>
            </w:pPr>
            <w:r>
              <w:t>Knows that engineering and STEM careers are suitable for both girls and boys</w:t>
            </w:r>
          </w:p>
        </w:tc>
      </w:tr>
    </w:tbl>
    <w:p w14:paraId="2603E9C8" w14:textId="77777777" w:rsidR="00D95424" w:rsidRDefault="00D95424" w:rsidP="0050768F">
      <w:pPr>
        <w:widowControl w:val="0"/>
        <w:autoSpaceDE w:val="0"/>
        <w:autoSpaceDN w:val="0"/>
        <w:adjustRightInd w:val="0"/>
        <w:spacing w:after="0" w:line="240" w:lineRule="auto"/>
      </w:pPr>
    </w:p>
    <w:p w14:paraId="00B9FFEF" w14:textId="01EF32D6" w:rsidR="00486C27" w:rsidRDefault="00486C27" w:rsidP="0050768F">
      <w:pPr>
        <w:spacing w:after="0" w:line="240" w:lineRule="auto"/>
      </w:pPr>
      <w:r>
        <w:t>The current programme</w:t>
      </w:r>
      <w:r w:rsidR="00A13C7A">
        <w:t>,</w:t>
      </w:r>
      <w:r>
        <w:t xml:space="preserve"> initiated in 201</w:t>
      </w:r>
      <w:r w:rsidR="004E6515">
        <w:t>4</w:t>
      </w:r>
      <w:r w:rsidR="00A13C7A">
        <w:t>,</w:t>
      </w:r>
      <w:r>
        <w:t xml:space="preserve"> will run until the end of the academic year 2017. During this period</w:t>
      </w:r>
      <w:r w:rsidR="00DA3E76">
        <w:t xml:space="preserve"> (Phase 1)</w:t>
      </w:r>
      <w:r>
        <w:t>,</w:t>
      </w:r>
      <w:r w:rsidR="00DD520B">
        <w:t xml:space="preserve"> up to</w:t>
      </w:r>
      <w:r>
        <w:t xml:space="preserve"> 650 UK state secondary schools will have participated in TEEQ, with </w:t>
      </w:r>
      <w:r w:rsidR="00DD520B">
        <w:t>approximately</w:t>
      </w:r>
      <w:r>
        <w:t xml:space="preserve"> 79,000 pupils engaged. </w:t>
      </w:r>
    </w:p>
    <w:p w14:paraId="36C7A399" w14:textId="77777777" w:rsidR="00486C27" w:rsidRDefault="00486C27" w:rsidP="0050768F">
      <w:pPr>
        <w:spacing w:after="0" w:line="240" w:lineRule="auto"/>
        <w:rPr>
          <w:rFonts w:ascii="Calibri" w:hAnsi="Calibri" w:cs="Calibri"/>
        </w:rPr>
      </w:pPr>
    </w:p>
    <w:p w14:paraId="25234D23" w14:textId="77777777" w:rsidR="0086300C" w:rsidRDefault="0086300C" w:rsidP="0050768F">
      <w:pPr>
        <w:spacing w:after="0" w:line="240" w:lineRule="auto"/>
      </w:pPr>
    </w:p>
    <w:p w14:paraId="1BDB127B" w14:textId="689C5686" w:rsidR="0086300C" w:rsidRDefault="0086300C" w:rsidP="00BC79DB">
      <w:pPr>
        <w:spacing w:after="0" w:line="240" w:lineRule="auto"/>
        <w:rPr>
          <w:b/>
        </w:rPr>
      </w:pPr>
      <w:r w:rsidRPr="00D95424">
        <w:rPr>
          <w:b/>
        </w:rPr>
        <w:t xml:space="preserve">Proposals for </w:t>
      </w:r>
      <w:r w:rsidR="00D95424" w:rsidRPr="00D95424">
        <w:rPr>
          <w:b/>
        </w:rPr>
        <w:t>2017-2020</w:t>
      </w:r>
    </w:p>
    <w:p w14:paraId="50B041A6" w14:textId="77777777" w:rsidR="00D95424" w:rsidRPr="00D95424" w:rsidRDefault="00D95424" w:rsidP="00BC79DB">
      <w:pPr>
        <w:spacing w:after="0" w:line="240" w:lineRule="auto"/>
        <w:rPr>
          <w:b/>
        </w:rPr>
      </w:pPr>
    </w:p>
    <w:p w14:paraId="7D0244C3" w14:textId="0D6B2DD3" w:rsidR="00BC79DB" w:rsidRDefault="00902F30" w:rsidP="00BC79DB">
      <w:pPr>
        <w:spacing w:after="0" w:line="240" w:lineRule="auto"/>
      </w:pPr>
      <w:r w:rsidRPr="00F04F6C">
        <w:t>EngineeringUK (EUK)</w:t>
      </w:r>
      <w:r>
        <w:t xml:space="preserve"> now</w:t>
      </w:r>
      <w:r w:rsidRPr="00F04F6C">
        <w:t xml:space="preserve"> invites proposals for the delivery and development </w:t>
      </w:r>
      <w:r>
        <w:t xml:space="preserve">of </w:t>
      </w:r>
      <w:r w:rsidRPr="00F04F6C">
        <w:t>Tomorrow’s Engineers Energy Quest to run over three academ</w:t>
      </w:r>
      <w:r w:rsidR="006270AF">
        <w:t>i</w:t>
      </w:r>
      <w:r w:rsidRPr="00F04F6C">
        <w:t>c years from September 2017 to July 2020</w:t>
      </w:r>
      <w:r w:rsidR="00DA3E76">
        <w:t xml:space="preserve"> (Phase 2)</w:t>
      </w:r>
      <w:r w:rsidRPr="00F04F6C">
        <w:t xml:space="preserve">. </w:t>
      </w:r>
      <w:r w:rsidR="00BC79DB" w:rsidRPr="00BC79DB">
        <w:t>This document sets out the background requiremen</w:t>
      </w:r>
      <w:r w:rsidR="00F04F6C">
        <w:t>t</w:t>
      </w:r>
      <w:r w:rsidR="00BC79DB" w:rsidRPr="00BC79DB">
        <w:t xml:space="preserve">s, procedure and timeframe for proposals, which may be submitted by individual organisations or consortia. </w:t>
      </w:r>
      <w:r w:rsidR="0001664B">
        <w:t>EUK</w:t>
      </w:r>
      <w:r w:rsidR="0001664B" w:rsidRPr="00BC79DB">
        <w:t xml:space="preserve"> </w:t>
      </w:r>
      <w:r w:rsidR="004E6515">
        <w:t xml:space="preserve">is </w:t>
      </w:r>
      <w:r w:rsidR="00BC79DB" w:rsidRPr="00BC79DB">
        <w:t xml:space="preserve">looking for innovative, </w:t>
      </w:r>
      <w:r w:rsidR="00170590">
        <w:t>creative</w:t>
      </w:r>
      <w:r w:rsidR="00BC79DB" w:rsidRPr="00BC79DB">
        <w:t xml:space="preserve"> approaches to delivery of </w:t>
      </w:r>
      <w:r w:rsidR="00DA3E76">
        <w:t xml:space="preserve">Phase 2 of </w:t>
      </w:r>
      <w:r w:rsidR="00BC79DB" w:rsidRPr="00BC79DB">
        <w:t>the programme</w:t>
      </w:r>
      <w:r w:rsidR="00BC79DB">
        <w:t xml:space="preserve"> to ensure continued scale and reach across UK secondary schools</w:t>
      </w:r>
      <w:r w:rsidR="00DF61DF">
        <w:t xml:space="preserve"> (excluding Northern Ireland)</w:t>
      </w:r>
      <w:r w:rsidR="00BC79DB">
        <w:t>.</w:t>
      </w:r>
    </w:p>
    <w:p w14:paraId="587D11EE" w14:textId="77777777" w:rsidR="009A7486" w:rsidRDefault="009A7486" w:rsidP="00BC79DB">
      <w:pPr>
        <w:spacing w:after="0" w:line="240" w:lineRule="auto"/>
      </w:pPr>
    </w:p>
    <w:p w14:paraId="158FA258" w14:textId="5EC20C80" w:rsidR="00EA740C" w:rsidRDefault="00C01A8C" w:rsidP="00BC79DB">
      <w:pPr>
        <w:spacing w:after="0" w:line="240" w:lineRule="auto"/>
        <w:rPr>
          <w:b/>
        </w:rPr>
      </w:pPr>
      <w:r>
        <w:t xml:space="preserve">A budget of up to </w:t>
      </w:r>
      <w:r w:rsidRPr="00353573">
        <w:t>£</w:t>
      </w:r>
      <w:r w:rsidR="0012329D">
        <w:t>789,000</w:t>
      </w:r>
      <w:r w:rsidRPr="00353573">
        <w:t xml:space="preserve"> over</w:t>
      </w:r>
      <w:r>
        <w:t xml:space="preserve"> a three</w:t>
      </w:r>
      <w:r w:rsidR="004E6515">
        <w:t>-</w:t>
      </w:r>
      <w:r>
        <w:t xml:space="preserve">year period is available </w:t>
      </w:r>
      <w:r w:rsidR="00732F11">
        <w:t xml:space="preserve">to fund the next </w:t>
      </w:r>
      <w:r w:rsidR="0050768F">
        <w:t>stage of delivery</w:t>
      </w:r>
      <w:r w:rsidR="006C4E8B">
        <w:t xml:space="preserve"> and development</w:t>
      </w:r>
      <w:r w:rsidR="00DA3E76">
        <w:t xml:space="preserve"> (Phase</w:t>
      </w:r>
      <w:r w:rsidR="004E6515">
        <w:t xml:space="preserve"> 2)</w:t>
      </w:r>
      <w:r>
        <w:t>. Any resulting grant agreement will be managed by EUK and run from appointment until the end of the academic year 2019/20.</w:t>
      </w:r>
    </w:p>
    <w:p w14:paraId="58322D75" w14:textId="77777777" w:rsidR="009A7486" w:rsidRDefault="009A7486" w:rsidP="00BC79DB">
      <w:pPr>
        <w:spacing w:after="0" w:line="240" w:lineRule="auto"/>
      </w:pPr>
    </w:p>
    <w:p w14:paraId="30382586" w14:textId="7BF1A7A0" w:rsidR="00412D3B" w:rsidRDefault="00412D3B" w:rsidP="00BC79DB">
      <w:pPr>
        <w:spacing w:after="0" w:line="240" w:lineRule="auto"/>
      </w:pPr>
      <w:r>
        <w:lastRenderedPageBreak/>
        <w:t xml:space="preserve">Following evaluation of the programme, going forward TEEQ will continue with </w:t>
      </w:r>
      <w:r w:rsidR="009C7BD8">
        <w:t>Part A</w:t>
      </w:r>
      <w:r>
        <w:t xml:space="preserve">: The Energiser Event; however, </w:t>
      </w:r>
      <w:r w:rsidR="009C7BD8">
        <w:t>Part B</w:t>
      </w:r>
      <w:r w:rsidR="003C2B78">
        <w:t>: The Energy Challenge</w:t>
      </w:r>
      <w:r w:rsidR="00D53C7A">
        <w:t xml:space="preserve"> </w:t>
      </w:r>
      <w:r w:rsidR="004E6515">
        <w:t>will be redeveloped</w:t>
      </w:r>
      <w:r w:rsidR="0012329D">
        <w:t xml:space="preserve"> </w:t>
      </w:r>
      <w:r w:rsidR="00D53C7A">
        <w:t xml:space="preserve">(see below for </w:t>
      </w:r>
      <w:r w:rsidR="00044AF7">
        <w:t xml:space="preserve">current </w:t>
      </w:r>
      <w:r w:rsidR="00D53C7A">
        <w:t xml:space="preserve">descriptions of the </w:t>
      </w:r>
      <w:r w:rsidR="0050768F">
        <w:t>two parts</w:t>
      </w:r>
      <w:r w:rsidR="00D53C7A">
        <w:t>).</w:t>
      </w:r>
    </w:p>
    <w:p w14:paraId="75044391" w14:textId="77777777" w:rsidR="00F23064" w:rsidRDefault="00F23064" w:rsidP="00BC79DB">
      <w:pPr>
        <w:spacing w:after="0" w:line="240" w:lineRule="auto"/>
      </w:pPr>
    </w:p>
    <w:p w14:paraId="3FA1133A" w14:textId="39D04F1A" w:rsidR="00F23064" w:rsidRPr="00170590" w:rsidRDefault="00615D55" w:rsidP="00BC79DB">
      <w:pPr>
        <w:spacing w:after="0" w:line="240" w:lineRule="auto"/>
        <w:rPr>
          <w:i/>
        </w:rPr>
      </w:pPr>
      <w:r w:rsidRPr="00170590">
        <w:rPr>
          <w:i/>
        </w:rPr>
        <w:t>Part A</w:t>
      </w:r>
      <w:r w:rsidR="00F23064" w:rsidRPr="00170590">
        <w:rPr>
          <w:i/>
        </w:rPr>
        <w:t>: The Energiser Event</w:t>
      </w:r>
    </w:p>
    <w:p w14:paraId="216B7429" w14:textId="77777777" w:rsidR="00F23064" w:rsidRDefault="00F23064" w:rsidP="00BC79DB">
      <w:pPr>
        <w:spacing w:after="0" w:line="240" w:lineRule="auto"/>
      </w:pPr>
    </w:p>
    <w:p w14:paraId="32540570" w14:textId="78925CDB" w:rsidR="00F23064" w:rsidRDefault="00F23064" w:rsidP="00BC79DB">
      <w:pPr>
        <w:spacing w:after="0" w:line="240" w:lineRule="auto"/>
      </w:pPr>
      <w:r>
        <w:t>The Energiser Event is an in</w:t>
      </w:r>
      <w:r w:rsidR="004E6515">
        <w:t>-</w:t>
      </w:r>
      <w:r>
        <w:t xml:space="preserve">school workshop delivered by </w:t>
      </w:r>
      <w:r w:rsidR="00615D55">
        <w:t xml:space="preserve">delivery partner </w:t>
      </w:r>
      <w:r>
        <w:t>education officer</w:t>
      </w:r>
      <w:r w:rsidR="00615D55">
        <w:t>s</w:t>
      </w:r>
      <w:r>
        <w:t xml:space="preserve"> to </w:t>
      </w:r>
      <w:r w:rsidR="00A13C7A">
        <w:t xml:space="preserve">up to </w:t>
      </w:r>
      <w:r>
        <w:t xml:space="preserve">60 </w:t>
      </w:r>
      <w:r w:rsidR="00F1185E">
        <w:t>11-14 year</w:t>
      </w:r>
      <w:r w:rsidR="004E6515">
        <w:t>-</w:t>
      </w:r>
      <w:r w:rsidR="00F1185E">
        <w:t>old</w:t>
      </w:r>
      <w:r w:rsidR="000C5616">
        <w:t xml:space="preserve"> students</w:t>
      </w:r>
      <w:r w:rsidR="00F1185E">
        <w:t xml:space="preserve"> </w:t>
      </w:r>
      <w:r w:rsidR="00615D55">
        <w:t>in each session</w:t>
      </w:r>
      <w:r>
        <w:t xml:space="preserve">. The event consists of </w:t>
      </w:r>
      <w:r w:rsidR="000C5616">
        <w:t>several</w:t>
      </w:r>
      <w:r>
        <w:t xml:space="preserve"> activities based on the theme of energy with STEM careers messaging running </w:t>
      </w:r>
      <w:r w:rsidR="008C68AA">
        <w:t>throughout and</w:t>
      </w:r>
      <w:r>
        <w:t xml:space="preserve"> is supported by a </w:t>
      </w:r>
      <w:r w:rsidR="00615D55">
        <w:t xml:space="preserve">standard set of resources (e.g. </w:t>
      </w:r>
      <w:r w:rsidR="00353573">
        <w:t>PowerPoint</w:t>
      </w:r>
      <w:r w:rsidR="00615D55">
        <w:t xml:space="preserve">, </w:t>
      </w:r>
      <w:r w:rsidR="00A13C7A">
        <w:t xml:space="preserve">student </w:t>
      </w:r>
      <w:r w:rsidR="008C68AA">
        <w:t>workbook</w:t>
      </w:r>
      <w:r w:rsidR="00615D55">
        <w:t xml:space="preserve"> and careers materials)</w:t>
      </w:r>
      <w:r w:rsidR="00A13C7A">
        <w:t>, which are provided free of charge</w:t>
      </w:r>
      <w:r w:rsidR="008C68AA">
        <w:t>.</w:t>
      </w:r>
    </w:p>
    <w:p w14:paraId="5C616A89" w14:textId="77777777" w:rsidR="008C68AA" w:rsidRDefault="008C68AA" w:rsidP="00BC79DB">
      <w:pPr>
        <w:spacing w:after="0" w:line="240" w:lineRule="auto"/>
      </w:pPr>
    </w:p>
    <w:p w14:paraId="2040E33C" w14:textId="67556DD1" w:rsidR="008C68AA" w:rsidRDefault="008C68AA" w:rsidP="00BC79DB">
      <w:pPr>
        <w:spacing w:after="0" w:line="240" w:lineRule="auto"/>
      </w:pPr>
      <w:r>
        <w:t>The Energiser Event is designed to</w:t>
      </w:r>
      <w:r w:rsidR="00F1185E">
        <w:t xml:space="preserve"> increase perception, knowledge and desirability of careers in engineering through hands</w:t>
      </w:r>
      <w:r w:rsidR="003C2B78">
        <w:t>-</w:t>
      </w:r>
      <w:r w:rsidR="00F1185E">
        <w:t>on activities</w:t>
      </w:r>
      <w:r w:rsidR="00DA3E76">
        <w:t xml:space="preserve"> and</w:t>
      </w:r>
      <w:r w:rsidR="00F1185E">
        <w:t xml:space="preserve"> meeting real</w:t>
      </w:r>
      <w:r w:rsidR="000C5616">
        <w:t>-</w:t>
      </w:r>
      <w:r w:rsidR="00F1185E">
        <w:t>life engineers</w:t>
      </w:r>
      <w:r w:rsidR="00DA3E76">
        <w:t xml:space="preserve">. It aims </w:t>
      </w:r>
      <w:r w:rsidR="00F1185E">
        <w:t xml:space="preserve">to help young people choose the right subjects </w:t>
      </w:r>
      <w:r w:rsidR="00615D55">
        <w:t>to</w:t>
      </w:r>
      <w:r w:rsidR="00F1185E">
        <w:t xml:space="preserve"> enable them to pursue a career in engineering.</w:t>
      </w:r>
    </w:p>
    <w:p w14:paraId="745A49FD" w14:textId="77777777" w:rsidR="008C68AA" w:rsidRDefault="008C68AA" w:rsidP="00BC79DB">
      <w:pPr>
        <w:spacing w:after="0" w:line="240" w:lineRule="auto"/>
      </w:pPr>
    </w:p>
    <w:p w14:paraId="46D55CE8" w14:textId="200DA158" w:rsidR="008C68AA" w:rsidRPr="00170590" w:rsidRDefault="00615D55" w:rsidP="00BC79DB">
      <w:pPr>
        <w:spacing w:after="0" w:line="240" w:lineRule="auto"/>
        <w:rPr>
          <w:i/>
        </w:rPr>
      </w:pPr>
      <w:r w:rsidRPr="00170590">
        <w:rPr>
          <w:i/>
        </w:rPr>
        <w:t>Part B</w:t>
      </w:r>
      <w:r w:rsidR="008C68AA" w:rsidRPr="00170590">
        <w:rPr>
          <w:i/>
        </w:rPr>
        <w:t xml:space="preserve">: The </w:t>
      </w:r>
      <w:r w:rsidR="00F1185E" w:rsidRPr="00170590">
        <w:rPr>
          <w:i/>
        </w:rPr>
        <w:t>Carbon Capture and Storage</w:t>
      </w:r>
      <w:r w:rsidR="009917AC" w:rsidRPr="00170590">
        <w:rPr>
          <w:i/>
        </w:rPr>
        <w:t xml:space="preserve"> (CCS)</w:t>
      </w:r>
      <w:r w:rsidR="00DA3E76">
        <w:rPr>
          <w:i/>
        </w:rPr>
        <w:t xml:space="preserve"> Energy</w:t>
      </w:r>
      <w:r w:rsidR="00F1185E" w:rsidRPr="00170590">
        <w:rPr>
          <w:i/>
        </w:rPr>
        <w:t xml:space="preserve"> </w:t>
      </w:r>
      <w:r w:rsidR="008C68AA" w:rsidRPr="00170590">
        <w:rPr>
          <w:i/>
        </w:rPr>
        <w:t>Challenge</w:t>
      </w:r>
    </w:p>
    <w:p w14:paraId="7EAA1FA4" w14:textId="77777777" w:rsidR="001816C5" w:rsidRDefault="001816C5" w:rsidP="00BC79DB">
      <w:pPr>
        <w:spacing w:after="0" w:line="240" w:lineRule="auto"/>
      </w:pPr>
    </w:p>
    <w:p w14:paraId="513DB036" w14:textId="0FFDDB0D" w:rsidR="00A0039A" w:rsidRDefault="009917AC" w:rsidP="00BC79DB">
      <w:pPr>
        <w:spacing w:after="0" w:line="240" w:lineRule="auto"/>
      </w:pPr>
      <w:r>
        <w:t xml:space="preserve">The CCS </w:t>
      </w:r>
      <w:r w:rsidR="00DA3E76">
        <w:t>Energy C</w:t>
      </w:r>
      <w:r>
        <w:t xml:space="preserve">hallenge is a teacher-led, curriculum based activity for 30 </w:t>
      </w:r>
      <w:r w:rsidR="000C5616">
        <w:t>students</w:t>
      </w:r>
      <w:r>
        <w:t xml:space="preserve"> </w:t>
      </w:r>
      <w:r w:rsidR="003C05F2">
        <w:t xml:space="preserve">who </w:t>
      </w:r>
      <w:r>
        <w:t xml:space="preserve">have </w:t>
      </w:r>
      <w:r w:rsidR="003C05F2">
        <w:t xml:space="preserve">already </w:t>
      </w:r>
      <w:r>
        <w:t xml:space="preserve">taken part in </w:t>
      </w:r>
      <w:r w:rsidR="00615D55">
        <w:t>Part A</w:t>
      </w:r>
      <w:r>
        <w:t xml:space="preserve">. The CCS challenge is presented to the school by </w:t>
      </w:r>
      <w:r w:rsidR="003C05F2">
        <w:t xml:space="preserve">delivery partner education officers </w:t>
      </w:r>
      <w:r>
        <w:t>as a kit containing all of the lesson plans and materials for the teacher to either deliver in a series of 6 lessons, a STEM club or as an off</w:t>
      </w:r>
      <w:r w:rsidR="000C5616">
        <w:t>-</w:t>
      </w:r>
      <w:r>
        <w:t xml:space="preserve">timetable day. The lessons consist of </w:t>
      </w:r>
      <w:r w:rsidR="000C5616">
        <w:t>several</w:t>
      </w:r>
      <w:r>
        <w:t xml:space="preserve"> experiments that will </w:t>
      </w:r>
      <w:r w:rsidR="00A13C7A">
        <w:t xml:space="preserve">culminate in </w:t>
      </w:r>
      <w:r>
        <w:t xml:space="preserve">the </w:t>
      </w:r>
      <w:r w:rsidR="000C5616">
        <w:t xml:space="preserve">students </w:t>
      </w:r>
      <w:r>
        <w:t>designing their own CCS plant.</w:t>
      </w:r>
    </w:p>
    <w:p w14:paraId="469DEDE6" w14:textId="77777777" w:rsidR="008C68AA" w:rsidRDefault="008C68AA" w:rsidP="00BC79DB">
      <w:pPr>
        <w:spacing w:after="0" w:line="240" w:lineRule="auto"/>
      </w:pPr>
    </w:p>
    <w:p w14:paraId="1EA9A107" w14:textId="2CF0BA9A" w:rsidR="00C87B0A" w:rsidRDefault="00C87B0A" w:rsidP="00BC79DB">
      <w:pPr>
        <w:spacing w:after="0" w:line="240" w:lineRule="auto"/>
      </w:pPr>
      <w:r>
        <w:t xml:space="preserve">Moving into </w:t>
      </w:r>
      <w:r w:rsidR="00DA3E76">
        <w:t xml:space="preserve">Phase 2 </w:t>
      </w:r>
      <w:r>
        <w:t>of TEEQ</w:t>
      </w:r>
      <w:r w:rsidR="003C05F2">
        <w:t xml:space="preserve">, </w:t>
      </w:r>
      <w:r w:rsidR="00962CDC">
        <w:t>schools wh</w:t>
      </w:r>
      <w:r w:rsidR="00DA3E76">
        <w:t>ich</w:t>
      </w:r>
      <w:r w:rsidR="00962CDC">
        <w:t xml:space="preserve"> have the</w:t>
      </w:r>
      <w:r>
        <w:t xml:space="preserve"> </w:t>
      </w:r>
      <w:r w:rsidR="00962CDC">
        <w:t xml:space="preserve">existing </w:t>
      </w:r>
      <w:r>
        <w:t>CCS challenge</w:t>
      </w:r>
      <w:r w:rsidR="00916A9F">
        <w:t xml:space="preserve"> kit</w:t>
      </w:r>
      <w:r>
        <w:t xml:space="preserve"> will be </w:t>
      </w:r>
      <w:r w:rsidR="00962CDC">
        <w:t xml:space="preserve">offered a support package </w:t>
      </w:r>
      <w:r w:rsidR="003C2B78">
        <w:t xml:space="preserve">(managed by EUK) </w:t>
      </w:r>
      <w:r w:rsidR="00962CDC">
        <w:t>t</w:t>
      </w:r>
      <w:r w:rsidR="005868BB">
        <w:t>o</w:t>
      </w:r>
      <w:r w:rsidR="00962CDC">
        <w:t xml:space="preserve"> enable them to complete</w:t>
      </w:r>
      <w:r w:rsidR="005868BB">
        <w:t xml:space="preserve"> </w:t>
      </w:r>
      <w:r w:rsidR="00DA3E76">
        <w:t>the activity and repeat it with future year groups</w:t>
      </w:r>
      <w:r w:rsidR="00962CDC">
        <w:t xml:space="preserve">. A </w:t>
      </w:r>
      <w:r>
        <w:t xml:space="preserve">new </w:t>
      </w:r>
      <w:r w:rsidR="00DA3E76">
        <w:t>Energy Challenge</w:t>
      </w:r>
      <w:r>
        <w:t xml:space="preserve"> </w:t>
      </w:r>
      <w:r w:rsidR="00962CDC">
        <w:t xml:space="preserve">will need </w:t>
      </w:r>
      <w:r>
        <w:t>to be developed</w:t>
      </w:r>
      <w:r w:rsidR="00962CDC">
        <w:t xml:space="preserve"> </w:t>
      </w:r>
      <w:r w:rsidR="00953D71">
        <w:t>for schools taking part in</w:t>
      </w:r>
      <w:r w:rsidR="00962CDC">
        <w:t xml:space="preserve"> </w:t>
      </w:r>
      <w:r w:rsidR="00DA3E76">
        <w:t xml:space="preserve">Phase </w:t>
      </w:r>
      <w:r w:rsidR="00962CDC">
        <w:t>2</w:t>
      </w:r>
      <w:r>
        <w:t>and forms part of this RfP.</w:t>
      </w:r>
    </w:p>
    <w:p w14:paraId="3C857A9E" w14:textId="77777777" w:rsidR="00223622" w:rsidRDefault="00223622" w:rsidP="00BC79DB">
      <w:pPr>
        <w:spacing w:after="0" w:line="240" w:lineRule="auto"/>
      </w:pPr>
    </w:p>
    <w:p w14:paraId="4D4E40BC" w14:textId="77777777" w:rsidR="0023523D" w:rsidRPr="009B7DDA" w:rsidRDefault="0023523D" w:rsidP="0023523D">
      <w:pPr>
        <w:spacing w:after="0" w:line="240" w:lineRule="auto"/>
        <w:jc w:val="both"/>
        <w:rPr>
          <w:rFonts w:ascii="Calibri" w:eastAsia="Calibri" w:hAnsi="Calibri" w:cs="Times New Roman"/>
        </w:rPr>
      </w:pPr>
    </w:p>
    <w:p w14:paraId="01ACCB58" w14:textId="3B42E685" w:rsidR="006C444B" w:rsidRDefault="00D90F47" w:rsidP="0023523D">
      <w:pPr>
        <w:spacing w:after="0" w:line="240" w:lineRule="auto"/>
        <w:jc w:val="both"/>
        <w:rPr>
          <w:rFonts w:ascii="Calibri" w:eastAsia="Calibri" w:hAnsi="Calibri" w:cs="Times New Roman"/>
          <w:b/>
        </w:rPr>
      </w:pPr>
      <w:r>
        <w:rPr>
          <w:rFonts w:ascii="Calibri" w:eastAsia="Calibri" w:hAnsi="Calibri" w:cs="Times New Roman"/>
          <w:b/>
        </w:rPr>
        <w:t>Requirements</w:t>
      </w:r>
    </w:p>
    <w:p w14:paraId="455DD1B5" w14:textId="03FF4E41" w:rsidR="00D90F47" w:rsidRDefault="00D90F47" w:rsidP="0023523D">
      <w:pPr>
        <w:spacing w:after="0" w:line="240" w:lineRule="auto"/>
        <w:jc w:val="both"/>
        <w:rPr>
          <w:rFonts w:ascii="Calibri" w:eastAsia="Calibri" w:hAnsi="Calibri" w:cs="Times New Roman"/>
          <w:b/>
        </w:rPr>
      </w:pPr>
    </w:p>
    <w:p w14:paraId="1AB99B80" w14:textId="5D8F4E7F" w:rsidR="00044AF7" w:rsidRDefault="00044AF7" w:rsidP="00044AF7">
      <w:pPr>
        <w:spacing w:after="0" w:line="240" w:lineRule="auto"/>
        <w:jc w:val="both"/>
        <w:rPr>
          <w:rFonts w:ascii="Calibri" w:eastAsia="Calibri" w:hAnsi="Calibri" w:cs="Times New Roman"/>
        </w:rPr>
      </w:pPr>
      <w:r>
        <w:t xml:space="preserve">For 2017-2020, </w:t>
      </w:r>
      <w:r w:rsidRPr="009B7DDA">
        <w:rPr>
          <w:rFonts w:ascii="Calibri" w:eastAsia="Calibri" w:hAnsi="Calibri" w:cs="Times New Roman"/>
        </w:rPr>
        <w:t xml:space="preserve">EUK </w:t>
      </w:r>
      <w:r>
        <w:rPr>
          <w:rFonts w:ascii="Calibri" w:eastAsia="Calibri" w:hAnsi="Calibri" w:cs="Times New Roman"/>
        </w:rPr>
        <w:t xml:space="preserve">is </w:t>
      </w:r>
      <w:r w:rsidRPr="009B7DDA">
        <w:rPr>
          <w:rFonts w:ascii="Calibri" w:eastAsia="Calibri" w:hAnsi="Calibri" w:cs="Times New Roman"/>
        </w:rPr>
        <w:t>looking for organisation</w:t>
      </w:r>
      <w:r>
        <w:rPr>
          <w:rFonts w:ascii="Calibri" w:eastAsia="Calibri" w:hAnsi="Calibri" w:cs="Times New Roman"/>
        </w:rPr>
        <w:t xml:space="preserve">(s) or consortia </w:t>
      </w:r>
      <w:r w:rsidRPr="009B7DDA">
        <w:rPr>
          <w:rFonts w:ascii="Calibri" w:eastAsia="Calibri" w:hAnsi="Calibri" w:cs="Times New Roman"/>
        </w:rPr>
        <w:t xml:space="preserve">to </w:t>
      </w:r>
      <w:r>
        <w:rPr>
          <w:rFonts w:ascii="Calibri" w:eastAsia="Calibri" w:hAnsi="Calibri" w:cs="Times New Roman"/>
        </w:rPr>
        <w:t xml:space="preserve">submit proposals for two packages of work. </w:t>
      </w:r>
      <w:r w:rsidRPr="009B7DDA">
        <w:rPr>
          <w:rFonts w:ascii="Calibri" w:eastAsia="Calibri" w:hAnsi="Calibri" w:cs="Times New Roman"/>
        </w:rPr>
        <w:t xml:space="preserve">Organisations </w:t>
      </w:r>
      <w:r>
        <w:rPr>
          <w:rFonts w:ascii="Calibri" w:eastAsia="Calibri" w:hAnsi="Calibri" w:cs="Times New Roman"/>
        </w:rPr>
        <w:t>are welcome to</w:t>
      </w:r>
      <w:r w:rsidRPr="009B7DDA">
        <w:rPr>
          <w:rFonts w:ascii="Calibri" w:eastAsia="Calibri" w:hAnsi="Calibri" w:cs="Times New Roman"/>
        </w:rPr>
        <w:t xml:space="preserve"> apply </w:t>
      </w:r>
      <w:r>
        <w:rPr>
          <w:rFonts w:ascii="Calibri" w:eastAsia="Calibri" w:hAnsi="Calibri" w:cs="Times New Roman"/>
        </w:rPr>
        <w:t xml:space="preserve">for </w:t>
      </w:r>
      <w:r w:rsidRPr="009B7DDA">
        <w:rPr>
          <w:rFonts w:ascii="Calibri" w:eastAsia="Calibri" w:hAnsi="Calibri" w:cs="Times New Roman"/>
        </w:rPr>
        <w:t>one or both packages.</w:t>
      </w:r>
    </w:p>
    <w:p w14:paraId="7469D266" w14:textId="77777777" w:rsidR="00044AF7" w:rsidRDefault="00044AF7" w:rsidP="0023523D">
      <w:pPr>
        <w:spacing w:after="0" w:line="240" w:lineRule="auto"/>
        <w:jc w:val="both"/>
        <w:rPr>
          <w:rFonts w:ascii="Calibri" w:eastAsia="Calibri" w:hAnsi="Calibri" w:cs="Times New Roman"/>
          <w:b/>
        </w:rPr>
      </w:pPr>
    </w:p>
    <w:p w14:paraId="247DC330" w14:textId="7EBE3653" w:rsidR="009C25A3" w:rsidRPr="009C25A3" w:rsidRDefault="009C25A3" w:rsidP="009C25A3">
      <w:pPr>
        <w:spacing w:after="0" w:line="240" w:lineRule="auto"/>
        <w:rPr>
          <w:rFonts w:ascii="Calibri" w:eastAsia="Calibri" w:hAnsi="Calibri" w:cs="Times New Roman"/>
        </w:rPr>
      </w:pPr>
      <w:r w:rsidRPr="009C25A3">
        <w:rPr>
          <w:rFonts w:ascii="Calibri" w:eastAsia="Calibri" w:hAnsi="Calibri" w:cs="Times New Roman"/>
        </w:rPr>
        <w:t>We will consider bids from multiple organisations joining together as a consorti</w:t>
      </w:r>
      <w:r w:rsidR="00DA3E76">
        <w:rPr>
          <w:rFonts w:ascii="Calibri" w:eastAsia="Calibri" w:hAnsi="Calibri" w:cs="Times New Roman"/>
        </w:rPr>
        <w:t>um</w:t>
      </w:r>
      <w:r w:rsidRPr="009C25A3">
        <w:rPr>
          <w:rFonts w:ascii="Calibri" w:eastAsia="Calibri" w:hAnsi="Calibri" w:cs="Times New Roman"/>
        </w:rPr>
        <w:t>. However, we recommend that individual organisations, wh</w:t>
      </w:r>
      <w:r w:rsidR="00DA3E76">
        <w:rPr>
          <w:rFonts w:ascii="Calibri" w:eastAsia="Calibri" w:hAnsi="Calibri" w:cs="Times New Roman"/>
        </w:rPr>
        <w:t>ich</w:t>
      </w:r>
      <w:r w:rsidRPr="009C25A3">
        <w:rPr>
          <w:rFonts w:ascii="Calibri" w:eastAsia="Calibri" w:hAnsi="Calibri" w:cs="Times New Roman"/>
        </w:rPr>
        <w:t xml:space="preserve"> are part of a joint bid, also make an individual bid highlighting which regions they can best cover, in order that we can evaluate the best possible combination of delivery options.</w:t>
      </w:r>
    </w:p>
    <w:p w14:paraId="07B5CB6D" w14:textId="77777777" w:rsidR="009C25A3" w:rsidRDefault="009C25A3" w:rsidP="009C25A3">
      <w:pPr>
        <w:spacing w:after="0" w:line="240" w:lineRule="auto"/>
        <w:rPr>
          <w:rFonts w:ascii="Calibri" w:eastAsia="Calibri" w:hAnsi="Calibri" w:cs="Times New Roman"/>
          <w:b/>
        </w:rPr>
      </w:pPr>
    </w:p>
    <w:p w14:paraId="4E164EAD" w14:textId="623717CB" w:rsidR="0023523D" w:rsidRPr="00EA740C" w:rsidRDefault="00DA3E76" w:rsidP="0023523D">
      <w:pPr>
        <w:spacing w:after="0" w:line="240" w:lineRule="auto"/>
        <w:jc w:val="both"/>
        <w:rPr>
          <w:rFonts w:ascii="Calibri" w:eastAsia="Calibri" w:hAnsi="Calibri" w:cs="Times New Roman"/>
          <w:b/>
        </w:rPr>
      </w:pPr>
      <w:r>
        <w:rPr>
          <w:rFonts w:ascii="Calibri" w:eastAsia="Calibri" w:hAnsi="Calibri" w:cs="Times New Roman"/>
          <w:b/>
        </w:rPr>
        <w:t xml:space="preserve">Package </w:t>
      </w:r>
      <w:r w:rsidR="006C444B">
        <w:rPr>
          <w:rFonts w:ascii="Calibri" w:eastAsia="Calibri" w:hAnsi="Calibri" w:cs="Times New Roman"/>
          <w:b/>
        </w:rPr>
        <w:t xml:space="preserve">A: Delivery of Energiser </w:t>
      </w:r>
      <w:r w:rsidR="00B50B1C">
        <w:rPr>
          <w:rFonts w:ascii="Calibri" w:eastAsia="Calibri" w:hAnsi="Calibri" w:cs="Times New Roman"/>
          <w:b/>
        </w:rPr>
        <w:t>W</w:t>
      </w:r>
      <w:r w:rsidR="006C444B">
        <w:rPr>
          <w:rFonts w:ascii="Calibri" w:eastAsia="Calibri" w:hAnsi="Calibri" w:cs="Times New Roman"/>
          <w:b/>
        </w:rPr>
        <w:t>orkshop</w:t>
      </w:r>
    </w:p>
    <w:p w14:paraId="313D766B" w14:textId="77777777" w:rsidR="0042320F" w:rsidRDefault="0042320F" w:rsidP="0023523D">
      <w:pPr>
        <w:spacing w:after="0" w:line="240" w:lineRule="auto"/>
        <w:jc w:val="both"/>
      </w:pPr>
    </w:p>
    <w:p w14:paraId="1DF4BA92" w14:textId="77777777" w:rsidR="0042320F" w:rsidRPr="009B7DDA" w:rsidRDefault="0042320F" w:rsidP="0023523D">
      <w:pPr>
        <w:spacing w:after="0" w:line="240" w:lineRule="auto"/>
        <w:jc w:val="both"/>
        <w:rPr>
          <w:rFonts w:ascii="Calibri" w:eastAsia="Calibri" w:hAnsi="Calibri" w:cs="Times New Roman"/>
        </w:rPr>
      </w:pPr>
    </w:p>
    <w:tbl>
      <w:tblPr>
        <w:tblStyle w:val="TableGridLight10"/>
        <w:tblW w:w="0" w:type="auto"/>
        <w:tblLook w:val="04A0" w:firstRow="1" w:lastRow="0" w:firstColumn="1" w:lastColumn="0" w:noHBand="0" w:noVBand="1"/>
      </w:tblPr>
      <w:tblGrid>
        <w:gridCol w:w="2263"/>
        <w:gridCol w:w="6753"/>
      </w:tblGrid>
      <w:tr w:rsidR="0023523D" w:rsidRPr="009B7DDA" w14:paraId="0868E346"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19CE4" w14:textId="77777777" w:rsidR="0023523D" w:rsidRPr="009B7DDA" w:rsidRDefault="0023523D" w:rsidP="000523CB">
            <w:pPr>
              <w:jc w:val="both"/>
            </w:pPr>
            <w:r w:rsidRPr="009B7DDA">
              <w:t>Delivery</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3CA967" w14:textId="267763FB" w:rsidR="0023523D" w:rsidRPr="00B50B1C" w:rsidRDefault="0023523D" w:rsidP="005868BB">
            <w:pPr>
              <w:pStyle w:val="ListParagraph"/>
              <w:numPr>
                <w:ilvl w:val="0"/>
                <w:numId w:val="11"/>
              </w:numPr>
              <w:ind w:left="176" w:hanging="176"/>
            </w:pPr>
            <w:r w:rsidRPr="00B50B1C">
              <w:t xml:space="preserve">Deliver </w:t>
            </w:r>
            <w:r w:rsidR="00D90F47">
              <w:t>an agreed number of</w:t>
            </w:r>
            <w:r w:rsidR="00B50B1C" w:rsidRPr="00B50B1C">
              <w:t xml:space="preserve"> </w:t>
            </w:r>
            <w:r w:rsidR="00544B16" w:rsidRPr="00B50B1C">
              <w:t xml:space="preserve">TEEQ </w:t>
            </w:r>
            <w:r w:rsidR="00614966" w:rsidRPr="00B50B1C">
              <w:t>engagements</w:t>
            </w:r>
            <w:r w:rsidRPr="00B50B1C">
              <w:t xml:space="preserve"> in </w:t>
            </w:r>
            <w:r w:rsidR="00614966" w:rsidRPr="00B50B1C">
              <w:t xml:space="preserve">secondary </w:t>
            </w:r>
            <w:r w:rsidRPr="00B50B1C">
              <w:t>schools across the</w:t>
            </w:r>
            <w:r w:rsidR="00027A8F">
              <w:t xml:space="preserve"> 11 regions</w:t>
            </w:r>
            <w:r w:rsidRPr="00B50B1C">
              <w:t xml:space="preserve"> </w:t>
            </w:r>
            <w:r w:rsidR="00614966" w:rsidRPr="00B50B1C">
              <w:t>over the three years</w:t>
            </w:r>
            <w:r w:rsidRPr="00B50B1C">
              <w:t xml:space="preserve"> of the programme</w:t>
            </w:r>
          </w:p>
          <w:p w14:paraId="4FD062BE" w14:textId="6AAA50B3" w:rsidR="0023523D" w:rsidRPr="00B50B1C" w:rsidRDefault="002E29C7" w:rsidP="005868BB">
            <w:pPr>
              <w:pStyle w:val="ListParagraph"/>
              <w:numPr>
                <w:ilvl w:val="0"/>
                <w:numId w:val="11"/>
              </w:numPr>
              <w:ind w:left="176" w:hanging="176"/>
            </w:pPr>
            <w:r>
              <w:t>Liaise with EUK to h</w:t>
            </w:r>
            <w:r w:rsidR="0023523D" w:rsidRPr="00B50B1C">
              <w:t xml:space="preserve">ave a TEEQ presence at the </w:t>
            </w:r>
            <w:r w:rsidR="00B50B1C">
              <w:t>N</w:t>
            </w:r>
            <w:r w:rsidR="00B50B1C" w:rsidRPr="00B50B1C">
              <w:t xml:space="preserve">ational </w:t>
            </w:r>
            <w:r w:rsidR="0023523D" w:rsidRPr="00B50B1C">
              <w:t>Big Bang Fair and</w:t>
            </w:r>
            <w:r w:rsidR="00B50B1C">
              <w:t xml:space="preserve"> regional</w:t>
            </w:r>
            <w:r w:rsidR="0023523D" w:rsidRPr="00B50B1C">
              <w:t xml:space="preserve"> Big Bang Near Me </w:t>
            </w:r>
            <w:r w:rsidR="00B50B1C">
              <w:t>fairs</w:t>
            </w:r>
          </w:p>
        </w:tc>
      </w:tr>
      <w:tr w:rsidR="0023523D" w:rsidRPr="009B7DDA" w14:paraId="26FEEAE5"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E3BC83" w14:textId="7351AFA2" w:rsidR="0023523D" w:rsidRPr="009B7DDA" w:rsidRDefault="0023523D" w:rsidP="000523CB">
            <w:pPr>
              <w:jc w:val="both"/>
            </w:pPr>
            <w:r w:rsidRPr="009B7DDA">
              <w:t>School recruitment</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C3BD63" w14:textId="77777777" w:rsidR="0023523D" w:rsidRPr="008E1580" w:rsidRDefault="0023523D" w:rsidP="005868BB">
            <w:pPr>
              <w:pStyle w:val="ListParagraph"/>
              <w:numPr>
                <w:ilvl w:val="0"/>
                <w:numId w:val="11"/>
              </w:numPr>
              <w:ind w:left="176" w:hanging="176"/>
            </w:pPr>
            <w:r w:rsidRPr="008E1580">
              <w:t>Use local knowledge and contacts in schools to recruit to the programme</w:t>
            </w:r>
          </w:p>
          <w:p w14:paraId="694569F6" w14:textId="636CC22E" w:rsidR="0023523D" w:rsidRPr="008E1580" w:rsidRDefault="0023523D" w:rsidP="002B366F">
            <w:pPr>
              <w:pStyle w:val="ListParagraph"/>
              <w:numPr>
                <w:ilvl w:val="0"/>
                <w:numId w:val="11"/>
              </w:numPr>
              <w:ind w:left="176" w:hanging="176"/>
            </w:pPr>
            <w:r w:rsidRPr="008E1580">
              <w:lastRenderedPageBreak/>
              <w:t xml:space="preserve">Ensure schools </w:t>
            </w:r>
            <w:r w:rsidR="00DA3E76">
              <w:t>commit</w:t>
            </w:r>
            <w:r w:rsidRPr="008E1580">
              <w:t xml:space="preserve"> to the 2 </w:t>
            </w:r>
            <w:r w:rsidR="00D90F47">
              <w:t>parts</w:t>
            </w:r>
            <w:r w:rsidRPr="008E1580">
              <w:t xml:space="preserve"> </w:t>
            </w:r>
            <w:r w:rsidR="00A13C7A">
              <w:t xml:space="preserve">(The Energiser Workshop and the new Energy Challenge) </w:t>
            </w:r>
            <w:r w:rsidRPr="008E1580">
              <w:t>and the repeat element of delivery</w:t>
            </w:r>
            <w:r w:rsidR="00A13C7A">
              <w:t xml:space="preserve"> (ideally</w:t>
            </w:r>
            <w:r w:rsidR="002B366F">
              <w:t xml:space="preserve"> each school will</w:t>
            </w:r>
            <w:r w:rsidR="00A13C7A">
              <w:t xml:space="preserve"> </w:t>
            </w:r>
            <w:r w:rsidR="002B366F">
              <w:t>deliver</w:t>
            </w:r>
            <w:r w:rsidR="00A13C7A">
              <w:t xml:space="preserve"> the programme every year for all three years) </w:t>
            </w:r>
          </w:p>
        </w:tc>
      </w:tr>
      <w:tr w:rsidR="0023523D" w:rsidRPr="009B7DDA" w14:paraId="374D5861"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61595" w14:textId="77777777" w:rsidR="0023523D" w:rsidRPr="009B7DDA" w:rsidRDefault="0023523D" w:rsidP="000523CB">
            <w:pPr>
              <w:jc w:val="both"/>
            </w:pPr>
            <w:r w:rsidRPr="009B7DDA">
              <w:lastRenderedPageBreak/>
              <w:t>STEM ambassadors</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F6A60E" w14:textId="4518E16C" w:rsidR="0023523D" w:rsidRPr="009B7DDA" w:rsidRDefault="0023523D" w:rsidP="00D90F47">
            <w:pPr>
              <w:pStyle w:val="ListParagraph"/>
              <w:numPr>
                <w:ilvl w:val="0"/>
                <w:numId w:val="11"/>
              </w:numPr>
              <w:ind w:left="176" w:hanging="176"/>
            </w:pPr>
            <w:r w:rsidRPr="009B7DDA">
              <w:t xml:space="preserve">Work with local STEM </w:t>
            </w:r>
            <w:r w:rsidR="00D90F47">
              <w:t>Ambassador Hubs</w:t>
            </w:r>
            <w:r w:rsidRPr="009B7DDA">
              <w:t xml:space="preserve"> to recruit ambassadors to take part in events in line with the KPIs</w:t>
            </w:r>
          </w:p>
        </w:tc>
      </w:tr>
      <w:tr w:rsidR="0023523D" w:rsidRPr="009B7DDA" w14:paraId="1EACEA22"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444D4B" w14:textId="77777777" w:rsidR="0023523D" w:rsidRPr="005868BB" w:rsidRDefault="0023523D" w:rsidP="005868BB">
            <w:pPr>
              <w:jc w:val="both"/>
            </w:pPr>
            <w:r w:rsidRPr="005868BB">
              <w:t>Evaluation &amp; reporting</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5F7BC" w14:textId="77777777" w:rsidR="0023523D" w:rsidRPr="009B7DDA" w:rsidRDefault="0023523D" w:rsidP="005868BB">
            <w:pPr>
              <w:pStyle w:val="ListParagraph"/>
              <w:numPr>
                <w:ilvl w:val="0"/>
                <w:numId w:val="11"/>
              </w:numPr>
              <w:ind w:left="176" w:hanging="176"/>
            </w:pPr>
            <w:r w:rsidRPr="009B7DDA">
              <w:t>Administer a minimum of 10% evaluations in schools</w:t>
            </w:r>
          </w:p>
          <w:p w14:paraId="6D0DB7B1" w14:textId="17C43ADF" w:rsidR="0023523D" w:rsidRPr="009B7DDA" w:rsidRDefault="00F9065F" w:rsidP="005868BB">
            <w:pPr>
              <w:pStyle w:val="ListParagraph"/>
              <w:numPr>
                <w:ilvl w:val="0"/>
                <w:numId w:val="11"/>
              </w:numPr>
              <w:ind w:left="176" w:hanging="176"/>
            </w:pPr>
            <w:r>
              <w:t>W</w:t>
            </w:r>
            <w:r w:rsidR="00130523">
              <w:t>eekly monitoring</w:t>
            </w:r>
            <w:r w:rsidR="0023523D" w:rsidRPr="009B7DDA">
              <w:t xml:space="preserve"> </w:t>
            </w:r>
            <w:r w:rsidR="008811B3">
              <w:t xml:space="preserve">and </w:t>
            </w:r>
            <w:r w:rsidR="00EE46D6">
              <w:t xml:space="preserve">submission of a </w:t>
            </w:r>
            <w:r w:rsidR="008811B3">
              <w:t>monthly status report</w:t>
            </w:r>
          </w:p>
          <w:p w14:paraId="5E19C02C" w14:textId="77777777" w:rsidR="0023523D" w:rsidRDefault="0023523D" w:rsidP="00D90F47">
            <w:pPr>
              <w:pStyle w:val="ListParagraph"/>
              <w:numPr>
                <w:ilvl w:val="0"/>
                <w:numId w:val="11"/>
              </w:numPr>
              <w:ind w:left="176" w:hanging="176"/>
            </w:pPr>
            <w:r w:rsidRPr="009B7DDA">
              <w:t>Upload</w:t>
            </w:r>
            <w:r w:rsidR="00F9065F">
              <w:t>ing of</w:t>
            </w:r>
            <w:r w:rsidRPr="009B7DDA">
              <w:t xml:space="preserve"> activity data to the </w:t>
            </w:r>
            <w:r w:rsidR="00F9065F">
              <w:t>EUK</w:t>
            </w:r>
            <w:r w:rsidR="00F9065F" w:rsidRPr="009B7DDA">
              <w:t xml:space="preserve"> </w:t>
            </w:r>
            <w:r w:rsidR="00F9065F">
              <w:t>S</w:t>
            </w:r>
            <w:r w:rsidR="00F9065F" w:rsidRPr="009B7DDA">
              <w:t xml:space="preserve">chools </w:t>
            </w:r>
            <w:r w:rsidR="00F9065F">
              <w:t>D</w:t>
            </w:r>
            <w:r w:rsidR="00F9065F" w:rsidRPr="009B7DDA">
              <w:t>atabase</w:t>
            </w:r>
          </w:p>
          <w:p w14:paraId="424CFDAF" w14:textId="20BA8ABE" w:rsidR="0042731A" w:rsidRPr="009B7DDA" w:rsidRDefault="0042731A" w:rsidP="0042731A">
            <w:pPr>
              <w:pStyle w:val="ListParagraph"/>
              <w:numPr>
                <w:ilvl w:val="0"/>
                <w:numId w:val="11"/>
              </w:numPr>
              <w:ind w:left="176" w:hanging="176"/>
            </w:pPr>
            <w:r>
              <w:t xml:space="preserve">Capture and report back feedback from delivery officers to support ongoing refinement of the programme </w:t>
            </w:r>
          </w:p>
        </w:tc>
      </w:tr>
    </w:tbl>
    <w:p w14:paraId="53DEF08E" w14:textId="77777777" w:rsidR="00E96457" w:rsidRDefault="00E96457" w:rsidP="0023523D">
      <w:pPr>
        <w:spacing w:after="0" w:line="240" w:lineRule="auto"/>
        <w:jc w:val="both"/>
        <w:rPr>
          <w:rFonts w:ascii="Calibri" w:eastAsia="Calibri" w:hAnsi="Calibri" w:cs="Times New Roman"/>
        </w:rPr>
      </w:pPr>
    </w:p>
    <w:p w14:paraId="219E8112" w14:textId="2A3373F3" w:rsidR="00614966" w:rsidRDefault="004A3517" w:rsidP="0023523D">
      <w:pPr>
        <w:spacing w:after="0" w:line="240" w:lineRule="auto"/>
        <w:jc w:val="both"/>
        <w:rPr>
          <w:rFonts w:ascii="Calibri" w:eastAsia="Calibri" w:hAnsi="Calibri" w:cs="Times New Roman"/>
        </w:rPr>
      </w:pPr>
      <w:r>
        <w:rPr>
          <w:rFonts w:ascii="Calibri" w:eastAsia="Calibri" w:hAnsi="Calibri" w:cs="Times New Roman"/>
        </w:rPr>
        <w:t xml:space="preserve">A </w:t>
      </w:r>
      <w:r w:rsidR="00C80BDA">
        <w:rPr>
          <w:rFonts w:ascii="Calibri" w:eastAsia="Calibri" w:hAnsi="Calibri" w:cs="Times New Roman"/>
        </w:rPr>
        <w:t>b</w:t>
      </w:r>
      <w:r w:rsidR="00C80BDA" w:rsidRPr="00C80BDA">
        <w:rPr>
          <w:rFonts w:ascii="Calibri" w:eastAsia="Calibri" w:hAnsi="Calibri" w:cs="Times New Roman"/>
        </w:rPr>
        <w:t xml:space="preserve">udget of up to </w:t>
      </w:r>
      <w:r w:rsidR="00C80BDA" w:rsidRPr="00353573">
        <w:rPr>
          <w:rFonts w:ascii="Calibri" w:eastAsia="Calibri" w:hAnsi="Calibri" w:cs="Times New Roman"/>
          <w:b/>
        </w:rPr>
        <w:t>£</w:t>
      </w:r>
      <w:r w:rsidR="006C4E8B" w:rsidRPr="00353573">
        <w:rPr>
          <w:rFonts w:ascii="Calibri" w:eastAsia="Calibri" w:hAnsi="Calibri" w:cs="Times New Roman"/>
          <w:b/>
        </w:rPr>
        <w:t>73</w:t>
      </w:r>
      <w:r w:rsidR="00044AF7">
        <w:rPr>
          <w:rFonts w:ascii="Calibri" w:eastAsia="Calibri" w:hAnsi="Calibri" w:cs="Times New Roman"/>
          <w:b/>
        </w:rPr>
        <w:t>9</w:t>
      </w:r>
      <w:r w:rsidR="006C4E8B" w:rsidRPr="00353573">
        <w:rPr>
          <w:rFonts w:ascii="Calibri" w:eastAsia="Calibri" w:hAnsi="Calibri" w:cs="Times New Roman"/>
          <w:b/>
        </w:rPr>
        <w:t>,</w:t>
      </w:r>
      <w:r w:rsidR="00044AF7">
        <w:rPr>
          <w:rFonts w:ascii="Calibri" w:eastAsia="Calibri" w:hAnsi="Calibri" w:cs="Times New Roman"/>
          <w:b/>
        </w:rPr>
        <w:t>000</w:t>
      </w:r>
      <w:r w:rsidR="00C80BDA" w:rsidRPr="00C80BDA">
        <w:rPr>
          <w:rFonts w:ascii="Calibri" w:eastAsia="Calibri" w:hAnsi="Calibri" w:cs="Times New Roman"/>
        </w:rPr>
        <w:t xml:space="preserve"> over three years </w:t>
      </w:r>
      <w:r w:rsidR="008D2132">
        <w:rPr>
          <w:rFonts w:ascii="Calibri" w:eastAsia="Calibri" w:hAnsi="Calibri" w:cs="Times New Roman"/>
        </w:rPr>
        <w:t xml:space="preserve">is available for delivery of </w:t>
      </w:r>
      <w:r w:rsidR="00A13C7A">
        <w:rPr>
          <w:rFonts w:ascii="Calibri" w:eastAsia="Calibri" w:hAnsi="Calibri" w:cs="Times New Roman"/>
        </w:rPr>
        <w:t xml:space="preserve">Package </w:t>
      </w:r>
      <w:r w:rsidR="008D2132">
        <w:rPr>
          <w:rFonts w:ascii="Calibri" w:eastAsia="Calibri" w:hAnsi="Calibri" w:cs="Times New Roman"/>
        </w:rPr>
        <w:t>A</w:t>
      </w:r>
      <w:r w:rsidR="00C80BDA" w:rsidRPr="00C80BDA">
        <w:rPr>
          <w:rFonts w:ascii="Calibri" w:eastAsia="Calibri" w:hAnsi="Calibri" w:cs="Times New Roman"/>
        </w:rPr>
        <w:t>.</w:t>
      </w:r>
    </w:p>
    <w:p w14:paraId="3F4319A2" w14:textId="77777777" w:rsidR="00E00C91" w:rsidRDefault="00E00C91" w:rsidP="0023523D">
      <w:pPr>
        <w:spacing w:after="0" w:line="240" w:lineRule="auto"/>
        <w:jc w:val="both"/>
        <w:rPr>
          <w:rFonts w:ascii="Calibri" w:eastAsia="Calibri" w:hAnsi="Calibri" w:cs="Times New Roman"/>
          <w:b/>
        </w:rPr>
      </w:pPr>
    </w:p>
    <w:p w14:paraId="123D434D" w14:textId="12F3E821" w:rsidR="00A13C7A" w:rsidRDefault="00A13C7A" w:rsidP="00A13C7A">
      <w:pPr>
        <w:spacing w:after="0" w:line="240" w:lineRule="auto"/>
      </w:pPr>
      <w:r w:rsidRPr="00A13C7A">
        <w:rPr>
          <w:rFonts w:ascii="Calibri" w:eastAsia="Calibri" w:hAnsi="Calibri" w:cs="Times New Roman"/>
        </w:rPr>
        <w:t xml:space="preserve">Like </w:t>
      </w:r>
      <w:r>
        <w:t xml:space="preserve">The Energiser Event, </w:t>
      </w:r>
      <w:r w:rsidR="002B366F">
        <w:t>Package B</w:t>
      </w:r>
      <w:r>
        <w:t xml:space="preserve"> should be designed to increase perception, knowledge and desirability of careers in engineering through hands on activities and meeting real-life engineers. It aims to help young people choose the right subjects to enable them to pursue a career in engineering.</w:t>
      </w:r>
    </w:p>
    <w:p w14:paraId="1C79E487" w14:textId="77777777" w:rsidR="00A13C7A" w:rsidRDefault="00A13C7A" w:rsidP="0023523D">
      <w:pPr>
        <w:spacing w:after="0" w:line="240" w:lineRule="auto"/>
        <w:jc w:val="both"/>
        <w:rPr>
          <w:rFonts w:ascii="Calibri" w:eastAsia="Calibri" w:hAnsi="Calibri" w:cs="Times New Roman"/>
          <w:b/>
        </w:rPr>
      </w:pPr>
    </w:p>
    <w:p w14:paraId="3CD98639" w14:textId="49490557" w:rsidR="00E96457" w:rsidRDefault="00E96457" w:rsidP="00E96457">
      <w:pPr>
        <w:spacing w:after="0" w:line="240" w:lineRule="auto"/>
        <w:jc w:val="both"/>
      </w:pPr>
      <w:r>
        <w:t>We are looking for a Delivery Partner, or consortium</w:t>
      </w:r>
      <w:r w:rsidR="00044AF7">
        <w:t>,</w:t>
      </w:r>
      <w:r>
        <w:t xml:space="preserve"> to deliver Package A, The Energiser Workshop whilst addressing the following:</w:t>
      </w:r>
    </w:p>
    <w:p w14:paraId="1BEE8256" w14:textId="77777777" w:rsidR="00E96457" w:rsidRDefault="00E96457" w:rsidP="00E96457">
      <w:pPr>
        <w:spacing w:after="0" w:line="240" w:lineRule="auto"/>
        <w:jc w:val="both"/>
      </w:pPr>
    </w:p>
    <w:p w14:paraId="744AD64E" w14:textId="44AE5D25" w:rsidR="00C23F9F" w:rsidRPr="0053527A" w:rsidRDefault="00E96457" w:rsidP="0053527A">
      <w:pPr>
        <w:pStyle w:val="ListParagraph"/>
        <w:numPr>
          <w:ilvl w:val="0"/>
          <w:numId w:val="25"/>
        </w:numPr>
        <w:spacing w:after="0" w:line="240" w:lineRule="auto"/>
        <w:jc w:val="both"/>
        <w:rPr>
          <w:rFonts w:ascii="Calibri" w:eastAsia="Calibri" w:hAnsi="Calibri" w:cs="Times New Roman"/>
        </w:rPr>
      </w:pPr>
      <w:r w:rsidRPr="0053527A">
        <w:rPr>
          <w:rFonts w:ascii="Calibri" w:eastAsia="Calibri" w:hAnsi="Calibri" w:cs="Times New Roman"/>
        </w:rPr>
        <w:t>Engagement of teachers, not just providing an opportunity to delegate responsibility</w:t>
      </w:r>
    </w:p>
    <w:p w14:paraId="0BC824C8" w14:textId="6B5EAD49" w:rsidR="00E96457" w:rsidRPr="0053527A" w:rsidRDefault="00E96457" w:rsidP="0053527A">
      <w:pPr>
        <w:pStyle w:val="ListParagraph"/>
        <w:numPr>
          <w:ilvl w:val="0"/>
          <w:numId w:val="25"/>
        </w:numPr>
        <w:spacing w:after="0" w:line="240" w:lineRule="auto"/>
        <w:jc w:val="both"/>
        <w:rPr>
          <w:rFonts w:ascii="Calibri" w:eastAsia="Calibri" w:hAnsi="Calibri" w:cs="Times New Roman"/>
        </w:rPr>
      </w:pPr>
      <w:r w:rsidRPr="0053527A">
        <w:rPr>
          <w:rFonts w:ascii="Calibri" w:eastAsia="Calibri" w:hAnsi="Calibri" w:cs="Times New Roman"/>
        </w:rPr>
        <w:t xml:space="preserve">A focus on all secondary maintained schools across the UK, including: </w:t>
      </w:r>
    </w:p>
    <w:p w14:paraId="1837B7BE" w14:textId="00B27F6C" w:rsidR="00E96457" w:rsidRPr="00E96457" w:rsidRDefault="00C23F9F" w:rsidP="00E96457">
      <w:pPr>
        <w:pStyle w:val="ListParagraph"/>
        <w:numPr>
          <w:ilvl w:val="0"/>
          <w:numId w:val="19"/>
        </w:numPr>
        <w:spacing w:after="0" w:line="240" w:lineRule="auto"/>
        <w:jc w:val="both"/>
        <w:rPr>
          <w:rFonts w:ascii="Calibri" w:eastAsia="Calibri" w:hAnsi="Calibri" w:cs="Times New Roman"/>
        </w:rPr>
      </w:pPr>
      <w:r>
        <w:rPr>
          <w:rFonts w:ascii="Calibri" w:eastAsia="Calibri" w:hAnsi="Calibri" w:cs="Times New Roman"/>
        </w:rPr>
        <w:t>Even split across</w:t>
      </w:r>
      <w:r w:rsidR="00E96457" w:rsidRPr="00E96457">
        <w:rPr>
          <w:rFonts w:ascii="Calibri" w:eastAsia="Calibri" w:hAnsi="Calibri" w:cs="Times New Roman"/>
        </w:rPr>
        <w:t xml:space="preserve"> Free School Meals (FSM)</w:t>
      </w:r>
      <w:r>
        <w:rPr>
          <w:rFonts w:ascii="Calibri" w:eastAsia="Calibri" w:hAnsi="Calibri" w:cs="Times New Roman"/>
        </w:rPr>
        <w:t xml:space="preserve"> (high, medium, low)</w:t>
      </w:r>
    </w:p>
    <w:p w14:paraId="2C90B882" w14:textId="3D42F0F6" w:rsidR="00E96457" w:rsidRPr="00E96457" w:rsidRDefault="00E96457" w:rsidP="00E96457">
      <w:pPr>
        <w:pStyle w:val="ListParagraph"/>
        <w:numPr>
          <w:ilvl w:val="0"/>
          <w:numId w:val="19"/>
        </w:numPr>
        <w:spacing w:after="0" w:line="240" w:lineRule="auto"/>
        <w:jc w:val="both"/>
        <w:rPr>
          <w:rFonts w:ascii="Calibri" w:eastAsia="Calibri" w:hAnsi="Calibri" w:cs="Times New Roman"/>
        </w:rPr>
      </w:pPr>
      <w:r w:rsidRPr="00E96457">
        <w:rPr>
          <w:rFonts w:ascii="Calibri" w:eastAsia="Calibri" w:hAnsi="Calibri" w:cs="Times New Roman"/>
        </w:rPr>
        <w:t>those in areas with a strong industrial footprint e,g. the Midlands</w:t>
      </w:r>
    </w:p>
    <w:p w14:paraId="3E42EFCF" w14:textId="16C83668" w:rsidR="0053527A" w:rsidRPr="0053527A" w:rsidRDefault="00E96457" w:rsidP="0053527A">
      <w:pPr>
        <w:pStyle w:val="ListParagraph"/>
        <w:numPr>
          <w:ilvl w:val="0"/>
          <w:numId w:val="19"/>
        </w:numPr>
        <w:spacing w:after="0" w:line="240" w:lineRule="auto"/>
        <w:jc w:val="both"/>
        <w:rPr>
          <w:rFonts w:ascii="Calibri" w:eastAsia="Calibri" w:hAnsi="Calibri" w:cs="Times New Roman"/>
        </w:rPr>
      </w:pPr>
      <w:r w:rsidRPr="00E96457">
        <w:rPr>
          <w:rFonts w:ascii="Calibri" w:eastAsia="Calibri" w:hAnsi="Calibri" w:cs="Times New Roman"/>
        </w:rPr>
        <w:t>the possibility to focus on Shell ‘fenceline’ areas e.g. London, Aberdeen</w:t>
      </w:r>
      <w:r w:rsidR="00AC4253">
        <w:rPr>
          <w:rFonts w:ascii="Calibri" w:eastAsia="Calibri" w:hAnsi="Calibri" w:cs="Times New Roman"/>
        </w:rPr>
        <w:t>, F</w:t>
      </w:r>
      <w:r w:rsidR="0053527A">
        <w:rPr>
          <w:rFonts w:ascii="Calibri" w:eastAsia="Calibri" w:hAnsi="Calibri" w:cs="Times New Roman"/>
        </w:rPr>
        <w:t>i</w:t>
      </w:r>
      <w:r w:rsidR="00AC4253">
        <w:rPr>
          <w:rFonts w:ascii="Calibri" w:eastAsia="Calibri" w:hAnsi="Calibri" w:cs="Times New Roman"/>
        </w:rPr>
        <w:t>fe</w:t>
      </w:r>
      <w:r w:rsidRPr="00E96457">
        <w:rPr>
          <w:rFonts w:ascii="Calibri" w:eastAsia="Calibri" w:hAnsi="Calibri" w:cs="Times New Roman"/>
        </w:rPr>
        <w:t xml:space="preserve"> and Bacton in Norfolk</w:t>
      </w:r>
    </w:p>
    <w:p w14:paraId="0FE41D32" w14:textId="77777777" w:rsidR="0053527A" w:rsidRPr="0053527A" w:rsidRDefault="0053527A" w:rsidP="0053527A">
      <w:pPr>
        <w:pStyle w:val="ListParagraph"/>
        <w:numPr>
          <w:ilvl w:val="0"/>
          <w:numId w:val="27"/>
        </w:numPr>
        <w:spacing w:after="0" w:line="240" w:lineRule="auto"/>
        <w:jc w:val="both"/>
        <w:rPr>
          <w:rFonts w:ascii="Calibri" w:eastAsia="Calibri" w:hAnsi="Calibri" w:cs="Times New Roman"/>
        </w:rPr>
      </w:pPr>
      <w:r w:rsidRPr="0053527A">
        <w:rPr>
          <w:rFonts w:ascii="Calibri" w:eastAsia="Calibri" w:hAnsi="Calibri" w:cs="Times New Roman"/>
        </w:rPr>
        <w:t>Opportunities to promote/link through to other initiatives that Shell UK is involved in, e.g.  Make the Future Live, The Bright Ideas Challenge or Connecting STEM Teachers (delivered by the Royal Academy of Engineering)</w:t>
      </w:r>
    </w:p>
    <w:p w14:paraId="5E7A2263" w14:textId="77777777" w:rsidR="0053527A" w:rsidRPr="0053527A" w:rsidRDefault="00E96457" w:rsidP="0053527A">
      <w:pPr>
        <w:pStyle w:val="ListParagraph"/>
        <w:numPr>
          <w:ilvl w:val="0"/>
          <w:numId w:val="27"/>
        </w:numPr>
        <w:spacing w:after="0" w:line="240" w:lineRule="auto"/>
        <w:jc w:val="both"/>
        <w:rPr>
          <w:rFonts w:ascii="Calibri" w:eastAsia="Calibri" w:hAnsi="Calibri" w:cs="Times New Roman"/>
        </w:rPr>
      </w:pPr>
      <w:r w:rsidRPr="0053527A">
        <w:rPr>
          <w:rFonts w:ascii="Calibri" w:eastAsia="Calibri" w:hAnsi="Calibri" w:cs="Times New Roman"/>
        </w:rPr>
        <w:t xml:space="preserve">The programme should engage local industry/small businesses to support delivery </w:t>
      </w:r>
    </w:p>
    <w:p w14:paraId="19EAD8E3" w14:textId="0489BE91" w:rsidR="00E96457" w:rsidRPr="0053527A" w:rsidRDefault="00E96457" w:rsidP="0053527A">
      <w:pPr>
        <w:pStyle w:val="ListParagraph"/>
        <w:spacing w:after="0" w:line="240" w:lineRule="auto"/>
        <w:jc w:val="both"/>
        <w:rPr>
          <w:rFonts w:ascii="Calibri" w:eastAsia="Calibri" w:hAnsi="Calibri" w:cs="Times New Roman"/>
        </w:rPr>
      </w:pPr>
      <w:r w:rsidRPr="0053527A">
        <w:rPr>
          <w:rFonts w:ascii="Calibri" w:eastAsia="Calibri" w:hAnsi="Calibri" w:cs="Times New Roman"/>
        </w:rPr>
        <w:t>As the programme relies on deliverers/facilitators, the proposal should include an explanation on how you would ensure they are consistently trained to a high standard</w:t>
      </w:r>
    </w:p>
    <w:p w14:paraId="6B49FFD1" w14:textId="77777777" w:rsidR="0053527A" w:rsidRDefault="00E96457" w:rsidP="0053527A">
      <w:pPr>
        <w:pStyle w:val="ListParagraph"/>
        <w:numPr>
          <w:ilvl w:val="0"/>
          <w:numId w:val="24"/>
        </w:numPr>
        <w:spacing w:after="0" w:line="240" w:lineRule="auto"/>
        <w:jc w:val="both"/>
        <w:rPr>
          <w:rFonts w:ascii="Calibri" w:eastAsia="Calibri" w:hAnsi="Calibri" w:cs="Times New Roman"/>
        </w:rPr>
      </w:pPr>
      <w:r w:rsidRPr="0053527A">
        <w:rPr>
          <w:rFonts w:ascii="Calibri" w:eastAsia="Calibri" w:hAnsi="Calibri" w:cs="Times New Roman"/>
        </w:rPr>
        <w:t>The activity needs to be effectively integrated into the school year, with an optimal level of notice</w:t>
      </w:r>
    </w:p>
    <w:p w14:paraId="452DAD56" w14:textId="10E7E47F" w:rsidR="00CB0BAE" w:rsidRPr="0053527A" w:rsidRDefault="00CB0BAE" w:rsidP="0053527A">
      <w:pPr>
        <w:pStyle w:val="ListParagraph"/>
        <w:numPr>
          <w:ilvl w:val="0"/>
          <w:numId w:val="24"/>
        </w:numPr>
        <w:spacing w:after="0" w:line="240" w:lineRule="auto"/>
        <w:jc w:val="both"/>
        <w:rPr>
          <w:rFonts w:ascii="Calibri" w:eastAsia="Calibri" w:hAnsi="Calibri" w:cs="Times New Roman"/>
        </w:rPr>
      </w:pPr>
      <w:r w:rsidRPr="0053527A">
        <w:rPr>
          <w:rFonts w:ascii="Calibri" w:eastAsia="Calibri" w:hAnsi="Calibri" w:cs="Times New Roman"/>
        </w:rPr>
        <w:t>Work in partnership with the delivery partners for Package B</w:t>
      </w:r>
    </w:p>
    <w:p w14:paraId="3025654F" w14:textId="3F2448BF" w:rsidR="00E96457" w:rsidRPr="00CB0BAE" w:rsidRDefault="00CB0BAE" w:rsidP="0053527A">
      <w:pPr>
        <w:pStyle w:val="ListParagraph"/>
        <w:numPr>
          <w:ilvl w:val="0"/>
          <w:numId w:val="23"/>
        </w:numPr>
        <w:spacing w:after="0" w:line="240" w:lineRule="auto"/>
        <w:jc w:val="both"/>
        <w:rPr>
          <w:rFonts w:ascii="Calibri" w:eastAsia="Calibri" w:hAnsi="Calibri" w:cs="Times New Roman"/>
        </w:rPr>
      </w:pPr>
      <w:r>
        <w:rPr>
          <w:rFonts w:ascii="Calibri" w:eastAsia="Calibri" w:hAnsi="Calibri" w:cs="Times New Roman"/>
        </w:rPr>
        <w:t>Utilise relationship with schools through The Energiser Event to encourage schools to participate in Package B</w:t>
      </w:r>
    </w:p>
    <w:p w14:paraId="33A38092" w14:textId="1CD70CC6" w:rsidR="00E96457" w:rsidRDefault="00E96457" w:rsidP="00E96457">
      <w:pPr>
        <w:spacing w:after="0" w:line="240" w:lineRule="auto"/>
        <w:ind w:left="720" w:hanging="720"/>
        <w:jc w:val="both"/>
        <w:rPr>
          <w:rFonts w:ascii="Calibri" w:eastAsia="Calibri" w:hAnsi="Calibri" w:cs="Times New Roman"/>
        </w:rPr>
      </w:pPr>
    </w:p>
    <w:p w14:paraId="6BFA10C7" w14:textId="4DCD0CE4" w:rsidR="0023523D" w:rsidRPr="00EA740C" w:rsidRDefault="00607D71" w:rsidP="0023523D">
      <w:pPr>
        <w:spacing w:after="0" w:line="240" w:lineRule="auto"/>
        <w:jc w:val="both"/>
        <w:rPr>
          <w:rFonts w:ascii="Calibri" w:eastAsia="Calibri" w:hAnsi="Calibri" w:cs="Times New Roman"/>
          <w:b/>
        </w:rPr>
      </w:pPr>
      <w:r>
        <w:rPr>
          <w:rFonts w:ascii="Calibri" w:eastAsia="Calibri" w:hAnsi="Calibri" w:cs="Times New Roman"/>
          <w:b/>
        </w:rPr>
        <w:t>Pa</w:t>
      </w:r>
      <w:r w:rsidR="00DA3E76">
        <w:rPr>
          <w:rFonts w:ascii="Calibri" w:eastAsia="Calibri" w:hAnsi="Calibri" w:cs="Times New Roman"/>
          <w:b/>
        </w:rPr>
        <w:t>ckage</w:t>
      </w:r>
      <w:r>
        <w:rPr>
          <w:rFonts w:ascii="Calibri" w:eastAsia="Calibri" w:hAnsi="Calibri" w:cs="Times New Roman"/>
          <w:b/>
        </w:rPr>
        <w:t xml:space="preserve"> B:</w:t>
      </w:r>
      <w:r w:rsidR="0023523D" w:rsidRPr="00EA740C">
        <w:rPr>
          <w:rFonts w:ascii="Calibri" w:eastAsia="Calibri" w:hAnsi="Calibri" w:cs="Times New Roman"/>
          <w:b/>
        </w:rPr>
        <w:t xml:space="preserve"> </w:t>
      </w:r>
      <w:r w:rsidRPr="00EA740C">
        <w:rPr>
          <w:rFonts w:ascii="Calibri" w:eastAsia="Calibri" w:hAnsi="Calibri" w:cs="Times New Roman"/>
          <w:b/>
        </w:rPr>
        <w:t xml:space="preserve">Development </w:t>
      </w:r>
      <w:r>
        <w:rPr>
          <w:rFonts w:ascii="Calibri" w:eastAsia="Calibri" w:hAnsi="Calibri" w:cs="Times New Roman"/>
          <w:b/>
        </w:rPr>
        <w:t xml:space="preserve">of </w:t>
      </w:r>
      <w:r w:rsidR="007F7AB9">
        <w:rPr>
          <w:rFonts w:ascii="Calibri" w:eastAsia="Calibri" w:hAnsi="Calibri" w:cs="Times New Roman"/>
          <w:b/>
        </w:rPr>
        <w:t xml:space="preserve">The Energy </w:t>
      </w:r>
      <w:r w:rsidR="00C80BDA">
        <w:rPr>
          <w:rFonts w:ascii="Calibri" w:eastAsia="Calibri" w:hAnsi="Calibri" w:cs="Times New Roman"/>
          <w:b/>
        </w:rPr>
        <w:t>Cha</w:t>
      </w:r>
      <w:r w:rsidR="007F7AB9">
        <w:rPr>
          <w:rFonts w:ascii="Calibri" w:eastAsia="Calibri" w:hAnsi="Calibri" w:cs="Times New Roman"/>
          <w:b/>
        </w:rPr>
        <w:t>llenge</w:t>
      </w:r>
    </w:p>
    <w:p w14:paraId="73628831" w14:textId="77777777" w:rsidR="0023523D" w:rsidRDefault="0023523D" w:rsidP="0023523D">
      <w:pPr>
        <w:spacing w:after="0" w:line="240" w:lineRule="auto"/>
        <w:jc w:val="both"/>
        <w:rPr>
          <w:rFonts w:ascii="Calibri" w:eastAsia="Calibri" w:hAnsi="Calibri" w:cs="Times New Roman"/>
        </w:rPr>
      </w:pPr>
    </w:p>
    <w:tbl>
      <w:tblPr>
        <w:tblStyle w:val="TableGridLight10"/>
        <w:tblW w:w="0" w:type="auto"/>
        <w:tblLook w:val="04A0" w:firstRow="1" w:lastRow="0" w:firstColumn="1" w:lastColumn="0" w:noHBand="0" w:noVBand="1"/>
      </w:tblPr>
      <w:tblGrid>
        <w:gridCol w:w="2263"/>
        <w:gridCol w:w="6753"/>
      </w:tblGrid>
      <w:tr w:rsidR="0023523D" w:rsidRPr="009B7DDA" w14:paraId="031B88C9"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0FC134" w14:textId="77777777" w:rsidR="0023523D" w:rsidRPr="009B7DDA" w:rsidRDefault="0023523D" w:rsidP="000523CB">
            <w:pPr>
              <w:jc w:val="both"/>
            </w:pPr>
            <w:r w:rsidRPr="009B7DDA">
              <w:t>Content</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D6343E" w14:textId="5166AEBA" w:rsidR="0023523D" w:rsidRDefault="00F44DDA" w:rsidP="00D90F47">
            <w:pPr>
              <w:pStyle w:val="ListParagraph"/>
              <w:numPr>
                <w:ilvl w:val="0"/>
                <w:numId w:val="11"/>
              </w:numPr>
              <w:ind w:left="176" w:hanging="176"/>
            </w:pPr>
            <w:r>
              <w:t>D</w:t>
            </w:r>
            <w:r w:rsidR="0023523D">
              <w:t>evelopment</w:t>
            </w:r>
            <w:r w:rsidR="0023523D" w:rsidRPr="009B7DDA">
              <w:t xml:space="preserve"> </w:t>
            </w:r>
            <w:r>
              <w:t xml:space="preserve">of a new Energy Challenge </w:t>
            </w:r>
          </w:p>
          <w:p w14:paraId="103B7080" w14:textId="24321199" w:rsidR="00D90F47" w:rsidRDefault="00D90F47" w:rsidP="00D90F47">
            <w:pPr>
              <w:pStyle w:val="ListParagraph"/>
              <w:numPr>
                <w:ilvl w:val="0"/>
                <w:numId w:val="11"/>
              </w:numPr>
              <w:ind w:left="176" w:hanging="176"/>
            </w:pPr>
            <w:r>
              <w:t>Pilot and roll out Pa</w:t>
            </w:r>
            <w:r w:rsidR="00BD4AE8">
              <w:t>ckage</w:t>
            </w:r>
            <w:r>
              <w:t xml:space="preserve"> B</w:t>
            </w:r>
          </w:p>
          <w:p w14:paraId="4573B60A" w14:textId="3E3681F8" w:rsidR="00D90F47" w:rsidRPr="009B7DDA" w:rsidRDefault="00D90F47" w:rsidP="00BD4AE8">
            <w:pPr>
              <w:pStyle w:val="ListParagraph"/>
              <w:numPr>
                <w:ilvl w:val="0"/>
                <w:numId w:val="11"/>
              </w:numPr>
              <w:ind w:left="176" w:hanging="176"/>
            </w:pPr>
            <w:r>
              <w:t xml:space="preserve">Work with </w:t>
            </w:r>
            <w:r w:rsidR="008D2132">
              <w:t>D</w:t>
            </w:r>
            <w:r>
              <w:t xml:space="preserve">elivery Partners to ensure link between </w:t>
            </w:r>
            <w:r w:rsidR="00BD4AE8">
              <w:t>Pac</w:t>
            </w:r>
            <w:r w:rsidR="008A75F7">
              <w:t>kage</w:t>
            </w:r>
            <w:r w:rsidR="00BD4AE8">
              <w:t xml:space="preserve"> </w:t>
            </w:r>
            <w:r>
              <w:t>A and B</w:t>
            </w:r>
          </w:p>
        </w:tc>
      </w:tr>
      <w:tr w:rsidR="00D90F47" w:rsidRPr="009B7DDA" w14:paraId="6EBAA8CF" w14:textId="77777777" w:rsidTr="000523CB">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64F676" w14:textId="53579BCA" w:rsidR="00D90F47" w:rsidRPr="009B7DDA" w:rsidRDefault="00D90F47" w:rsidP="000523CB">
            <w:pPr>
              <w:jc w:val="both"/>
            </w:pPr>
            <w:r>
              <w:t>Training</w:t>
            </w:r>
          </w:p>
        </w:tc>
        <w:tc>
          <w:tcPr>
            <w:tcW w:w="67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4FCEBA" w14:textId="0D13CAA4" w:rsidR="00D90F47" w:rsidRDefault="00205F04" w:rsidP="00D90F47">
            <w:pPr>
              <w:pStyle w:val="ListParagraph"/>
              <w:numPr>
                <w:ilvl w:val="0"/>
                <w:numId w:val="11"/>
              </w:numPr>
              <w:ind w:left="176" w:hanging="176"/>
            </w:pPr>
            <w:r>
              <w:t>Deliver T</w:t>
            </w:r>
            <w:r w:rsidR="00D90F47">
              <w:t>rain the Trainer to delivery partners</w:t>
            </w:r>
          </w:p>
        </w:tc>
      </w:tr>
    </w:tbl>
    <w:p w14:paraId="266311B9" w14:textId="77777777" w:rsidR="000F5CD5" w:rsidRDefault="000F5CD5" w:rsidP="00BC79DB">
      <w:pPr>
        <w:spacing w:after="0" w:line="240" w:lineRule="auto"/>
      </w:pPr>
    </w:p>
    <w:p w14:paraId="19EF24CE" w14:textId="0C160C43" w:rsidR="00614966" w:rsidRDefault="00275C98" w:rsidP="00BC79DB">
      <w:pPr>
        <w:spacing w:after="0" w:line="240" w:lineRule="auto"/>
      </w:pPr>
      <w:r>
        <w:t>A b</w:t>
      </w:r>
      <w:r w:rsidR="00614966">
        <w:t xml:space="preserve">udget of </w:t>
      </w:r>
      <w:r w:rsidR="00614966" w:rsidRPr="006C4E8B">
        <w:rPr>
          <w:b/>
        </w:rPr>
        <w:t>£30,000</w:t>
      </w:r>
      <w:r w:rsidR="00614966">
        <w:t xml:space="preserve"> if </w:t>
      </w:r>
      <w:r w:rsidR="002878A4">
        <w:t>Part B</w:t>
      </w:r>
      <w:r w:rsidR="00614966">
        <w:t xml:space="preserve"> consists of an existing intervention, or up to </w:t>
      </w:r>
      <w:r w:rsidR="00614966" w:rsidRPr="006C4E8B">
        <w:rPr>
          <w:b/>
        </w:rPr>
        <w:t>£50,000</w:t>
      </w:r>
      <w:r w:rsidR="00614966">
        <w:t xml:space="preserve"> if developing a new intervention</w:t>
      </w:r>
      <w:r w:rsidR="00044AF7">
        <w:t>.</w:t>
      </w:r>
    </w:p>
    <w:p w14:paraId="01ADA020" w14:textId="77777777" w:rsidR="00EA740C" w:rsidRDefault="00EA740C" w:rsidP="00BC79DB">
      <w:pPr>
        <w:spacing w:after="0" w:line="240" w:lineRule="auto"/>
      </w:pPr>
    </w:p>
    <w:p w14:paraId="54F4B070" w14:textId="75732199" w:rsidR="007F7AB9" w:rsidRDefault="007F7AB9" w:rsidP="007F7AB9">
      <w:r>
        <w:t xml:space="preserve">We are looking for an organisation to develop or tailor an activity under the theme of an “Energy Challenge” for </w:t>
      </w:r>
      <w:r w:rsidR="00044AF7">
        <w:t>P</w:t>
      </w:r>
      <w:r>
        <w:t>hase 2, to address the following:</w:t>
      </w:r>
    </w:p>
    <w:p w14:paraId="23BD3397" w14:textId="64CAD5BE" w:rsidR="007F7AB9" w:rsidRDefault="007F7AB9" w:rsidP="007F7AB9">
      <w:pPr>
        <w:pStyle w:val="ListParagraph"/>
        <w:numPr>
          <w:ilvl w:val="0"/>
          <w:numId w:val="15"/>
        </w:numPr>
        <w:spacing w:after="0" w:line="240" w:lineRule="auto"/>
        <w:jc w:val="both"/>
      </w:pPr>
      <w:r>
        <w:lastRenderedPageBreak/>
        <w:t>Teacher-led and school based</w:t>
      </w:r>
      <w:r w:rsidR="001F3E45">
        <w:t xml:space="preserve"> interactive,</w:t>
      </w:r>
      <w:r>
        <w:t xml:space="preserve"> </w:t>
      </w:r>
      <w:r w:rsidR="00CB0BAE">
        <w:t xml:space="preserve">repeat intervention and </w:t>
      </w:r>
      <w:r>
        <w:t>hands</w:t>
      </w:r>
      <w:r w:rsidR="00044AF7">
        <w:t>-</w:t>
      </w:r>
      <w:r>
        <w:t>on challenge over a period of 6 to 10 hours</w:t>
      </w:r>
    </w:p>
    <w:p w14:paraId="2C70E958" w14:textId="21CF4489" w:rsidR="007F7AB9" w:rsidRDefault="007F7AB9" w:rsidP="007657A1">
      <w:pPr>
        <w:pStyle w:val="ListParagraph"/>
        <w:numPr>
          <w:ilvl w:val="0"/>
          <w:numId w:val="15"/>
        </w:numPr>
        <w:spacing w:after="0" w:line="240" w:lineRule="auto"/>
        <w:ind w:left="714" w:hanging="357"/>
        <w:jc w:val="both"/>
      </w:pPr>
      <w:r>
        <w:t>Activity to have cross curricular links and be run in school time either as classroom sessions, STEM club activity or an off</w:t>
      </w:r>
      <w:r w:rsidR="006041B8">
        <w:t>-</w:t>
      </w:r>
      <w:r>
        <w:t>timetable day</w:t>
      </w:r>
    </w:p>
    <w:p w14:paraId="02B4A55F" w14:textId="77777777" w:rsidR="007F7AB9" w:rsidRDefault="007F7AB9" w:rsidP="007F7AB9">
      <w:pPr>
        <w:pStyle w:val="ListParagraph"/>
        <w:numPr>
          <w:ilvl w:val="0"/>
          <w:numId w:val="15"/>
        </w:numPr>
        <w:spacing w:after="0" w:line="240" w:lineRule="auto"/>
        <w:jc w:val="both"/>
      </w:pPr>
      <w:r>
        <w:t>Can be an adaptation of an existing, well-performing intervention or something completely new</w:t>
      </w:r>
    </w:p>
    <w:p w14:paraId="6738DD2A" w14:textId="77777777" w:rsidR="007F7AB9" w:rsidRDefault="007F7AB9" w:rsidP="007F7AB9">
      <w:pPr>
        <w:pStyle w:val="ListParagraph"/>
        <w:numPr>
          <w:ilvl w:val="0"/>
          <w:numId w:val="15"/>
        </w:numPr>
        <w:spacing w:after="0" w:line="240" w:lineRule="auto"/>
        <w:jc w:val="both"/>
      </w:pPr>
      <w:r>
        <w:t>Easily monitored for participation and impact</w:t>
      </w:r>
    </w:p>
    <w:p w14:paraId="0B89822F" w14:textId="77777777" w:rsidR="007F7AB9" w:rsidRDefault="007F7AB9" w:rsidP="007F7AB9">
      <w:pPr>
        <w:pStyle w:val="ListParagraph"/>
        <w:numPr>
          <w:ilvl w:val="0"/>
          <w:numId w:val="15"/>
        </w:numPr>
        <w:spacing w:after="0" w:line="240" w:lineRule="auto"/>
        <w:jc w:val="both"/>
      </w:pPr>
      <w:r>
        <w:t>Potential to link to existing awards and competitions such as The Big Bang Competition or BSA CREST awards</w:t>
      </w:r>
    </w:p>
    <w:p w14:paraId="3553FB19" w14:textId="77777777" w:rsidR="007F7AB9" w:rsidRDefault="007F7AB9" w:rsidP="007F7AB9">
      <w:pPr>
        <w:pStyle w:val="ListParagraph"/>
        <w:numPr>
          <w:ilvl w:val="0"/>
          <w:numId w:val="15"/>
        </w:numPr>
        <w:spacing w:after="0" w:line="240" w:lineRule="auto"/>
        <w:jc w:val="both"/>
      </w:pPr>
      <w:r>
        <w:t>Teachers given direction and support on using the TE Careers presentation and materials</w:t>
      </w:r>
    </w:p>
    <w:p w14:paraId="15890FB4" w14:textId="46872C98" w:rsidR="00C30FCA" w:rsidRDefault="0042731A" w:rsidP="007F7AB9">
      <w:pPr>
        <w:pStyle w:val="ListParagraph"/>
        <w:numPr>
          <w:ilvl w:val="0"/>
          <w:numId w:val="15"/>
        </w:numPr>
        <w:spacing w:after="0" w:line="240" w:lineRule="auto"/>
        <w:jc w:val="both"/>
      </w:pPr>
      <w:r>
        <w:t>Opportunity for</w:t>
      </w:r>
      <w:r w:rsidR="00C30FCA">
        <w:t xml:space="preserve"> STEM Ambassadors to take part</w:t>
      </w:r>
    </w:p>
    <w:p w14:paraId="284B9513" w14:textId="0271D41A" w:rsidR="00E96457" w:rsidRDefault="00E96457" w:rsidP="0019007A">
      <w:pPr>
        <w:pStyle w:val="ListParagraph"/>
        <w:numPr>
          <w:ilvl w:val="0"/>
          <w:numId w:val="15"/>
        </w:numPr>
      </w:pPr>
      <w:r w:rsidRPr="00E96457">
        <w:t>The activity should be gender inclusive and actively counter known barriers to girls engaging in STEM</w:t>
      </w:r>
    </w:p>
    <w:p w14:paraId="71D4C67F" w14:textId="56A70FF4" w:rsidR="007F7AB9" w:rsidRDefault="007F7AB9" w:rsidP="007F7AB9">
      <w:pPr>
        <w:pStyle w:val="ListParagraph"/>
        <w:numPr>
          <w:ilvl w:val="0"/>
          <w:numId w:val="15"/>
        </w:numPr>
        <w:spacing w:after="0" w:line="240" w:lineRule="auto"/>
        <w:jc w:val="both"/>
      </w:pPr>
      <w:r>
        <w:t>The activity needs to be effectively integrated into the school year, with an optimal level of notice</w:t>
      </w:r>
    </w:p>
    <w:p w14:paraId="0ACFDCDE" w14:textId="4AC68BAD" w:rsidR="007F7AB9" w:rsidRDefault="007F7AB9" w:rsidP="007F7AB9">
      <w:pPr>
        <w:pStyle w:val="ListParagraph"/>
        <w:numPr>
          <w:ilvl w:val="0"/>
          <w:numId w:val="15"/>
        </w:numPr>
        <w:spacing w:line="252" w:lineRule="auto"/>
        <w:jc w:val="both"/>
      </w:pPr>
      <w:r>
        <w:t xml:space="preserve">Include a teacher expectation document that they sign to commit to delivering the </w:t>
      </w:r>
      <w:r w:rsidR="00A13C7A">
        <w:t xml:space="preserve">Energy Challenge </w:t>
      </w:r>
      <w:r>
        <w:t>and administering pupil evaluations</w:t>
      </w:r>
    </w:p>
    <w:p w14:paraId="6358E552" w14:textId="5498E006" w:rsidR="007F7AB9" w:rsidRDefault="007F7AB9" w:rsidP="007F7AB9">
      <w:pPr>
        <w:pStyle w:val="ListParagraph"/>
        <w:numPr>
          <w:ilvl w:val="0"/>
          <w:numId w:val="15"/>
        </w:numPr>
        <w:spacing w:line="252" w:lineRule="auto"/>
        <w:jc w:val="both"/>
      </w:pPr>
      <w:r>
        <w:t xml:space="preserve">The activity will need to be </w:t>
      </w:r>
      <w:r w:rsidR="00F44DDA">
        <w:t xml:space="preserve">ready for </w:t>
      </w:r>
      <w:r>
        <w:t>pilot</w:t>
      </w:r>
      <w:r w:rsidR="00044AF7">
        <w:t xml:space="preserve"> </w:t>
      </w:r>
      <w:r>
        <w:t xml:space="preserve">in </w:t>
      </w:r>
      <w:r w:rsidRPr="00353573">
        <w:t>schools from October half term 2017</w:t>
      </w:r>
      <w:r>
        <w:t xml:space="preserve"> </w:t>
      </w:r>
      <w:r w:rsidR="00044AF7">
        <w:t>(at the latest)</w:t>
      </w:r>
    </w:p>
    <w:p w14:paraId="64626F3A" w14:textId="7CF4C213" w:rsidR="007F7AB9" w:rsidRDefault="007F7AB9" w:rsidP="007F7AB9">
      <w:pPr>
        <w:pStyle w:val="ListParagraph"/>
        <w:numPr>
          <w:ilvl w:val="0"/>
          <w:numId w:val="15"/>
        </w:numPr>
        <w:spacing w:line="252" w:lineRule="auto"/>
        <w:jc w:val="both"/>
      </w:pPr>
      <w:r>
        <w:t xml:space="preserve">Work closely with the delivery partners for </w:t>
      </w:r>
      <w:r w:rsidR="00F44DDA">
        <w:t>Package</w:t>
      </w:r>
      <w:r>
        <w:t xml:space="preserve"> A to ensure </w:t>
      </w:r>
      <w:r w:rsidR="00F44DDA">
        <w:t xml:space="preserve">clear </w:t>
      </w:r>
      <w:r>
        <w:t xml:space="preserve">link </w:t>
      </w:r>
      <w:r w:rsidR="00F44DDA">
        <w:t xml:space="preserve">between the Energiser Event and the </w:t>
      </w:r>
      <w:r>
        <w:t xml:space="preserve">revised </w:t>
      </w:r>
      <w:r w:rsidR="00F44DDA">
        <w:t xml:space="preserve">Energy Challenge </w:t>
      </w:r>
    </w:p>
    <w:p w14:paraId="4EF70CA0" w14:textId="209CB989" w:rsidR="00AC4253" w:rsidRDefault="00AC4253" w:rsidP="00AC4253">
      <w:pPr>
        <w:pStyle w:val="ListParagraph"/>
        <w:numPr>
          <w:ilvl w:val="0"/>
          <w:numId w:val="15"/>
        </w:numPr>
        <w:spacing w:line="252" w:lineRule="auto"/>
        <w:jc w:val="both"/>
      </w:pPr>
      <w:r>
        <w:t>Develop and deliver training to the Package A delivery partner(s) to ensure effective delivery of Package B, through Train the Trainer or some other method to ensure GB wide coverage</w:t>
      </w:r>
    </w:p>
    <w:p w14:paraId="1BE39305" w14:textId="453963C6" w:rsidR="0042320F" w:rsidRDefault="0042320F" w:rsidP="0042320F">
      <w:pPr>
        <w:spacing w:after="0" w:line="240" w:lineRule="auto"/>
      </w:pPr>
      <w:r>
        <w:t>Organisations can apply to</w:t>
      </w:r>
      <w:r w:rsidR="00DF4F79">
        <w:t xml:space="preserve"> deliver</w:t>
      </w:r>
      <w:r>
        <w:t xml:space="preserve"> </w:t>
      </w:r>
      <w:r w:rsidR="00F44DDA">
        <w:t xml:space="preserve">Package </w:t>
      </w:r>
      <w:r w:rsidR="00DF4F79">
        <w:t xml:space="preserve">A, </w:t>
      </w:r>
      <w:r w:rsidR="00F44DDA">
        <w:t>Package</w:t>
      </w:r>
      <w:r w:rsidR="008A75F7">
        <w:t xml:space="preserve"> </w:t>
      </w:r>
      <w:r w:rsidR="00DF4F79">
        <w:t>B</w:t>
      </w:r>
      <w:r>
        <w:t xml:space="preserve"> </w:t>
      </w:r>
      <w:r w:rsidR="00DF4F79">
        <w:t xml:space="preserve">or both work </w:t>
      </w:r>
      <w:r>
        <w:t>packages.</w:t>
      </w:r>
    </w:p>
    <w:p w14:paraId="4F63105B" w14:textId="77777777" w:rsidR="008D2132" w:rsidRDefault="008D2132" w:rsidP="007F7AB9">
      <w:pPr>
        <w:rPr>
          <w:b/>
          <w:bCs/>
        </w:rPr>
      </w:pPr>
    </w:p>
    <w:p w14:paraId="58C0167A" w14:textId="77777777" w:rsidR="007F7AB9" w:rsidRDefault="007F7AB9" w:rsidP="007F7AB9">
      <w:pPr>
        <w:rPr>
          <w:b/>
          <w:bCs/>
        </w:rPr>
      </w:pPr>
      <w:r>
        <w:rPr>
          <w:b/>
          <w:bCs/>
        </w:rPr>
        <w:t>EUK will provide overall project management including:</w:t>
      </w:r>
    </w:p>
    <w:p w14:paraId="7E102FF8" w14:textId="77777777" w:rsidR="007F7AB9" w:rsidRDefault="007F7AB9" w:rsidP="007F7AB9">
      <w:pPr>
        <w:pStyle w:val="ListParagraph"/>
        <w:numPr>
          <w:ilvl w:val="0"/>
          <w:numId w:val="16"/>
        </w:numPr>
        <w:spacing w:after="0" w:line="240" w:lineRule="auto"/>
        <w:jc w:val="both"/>
      </w:pPr>
      <w:r>
        <w:t>Setting and monitoring Key Performance Indicators for the programme</w:t>
      </w:r>
    </w:p>
    <w:p w14:paraId="4E0D2A7D" w14:textId="77777777" w:rsidR="007F7AB9" w:rsidRDefault="007F7AB9" w:rsidP="007F7AB9">
      <w:pPr>
        <w:pStyle w:val="ListParagraph"/>
        <w:numPr>
          <w:ilvl w:val="0"/>
          <w:numId w:val="16"/>
        </w:numPr>
        <w:spacing w:after="0" w:line="240" w:lineRule="auto"/>
        <w:jc w:val="both"/>
      </w:pPr>
      <w:r>
        <w:t>Budgetary management</w:t>
      </w:r>
    </w:p>
    <w:p w14:paraId="6A23DEBD" w14:textId="2E9FFDD6" w:rsidR="007F7AB9" w:rsidRDefault="007F7AB9" w:rsidP="007F7AB9">
      <w:pPr>
        <w:pStyle w:val="ListParagraph"/>
        <w:numPr>
          <w:ilvl w:val="0"/>
          <w:numId w:val="16"/>
        </w:numPr>
        <w:spacing w:after="0" w:line="240" w:lineRule="auto"/>
        <w:jc w:val="both"/>
      </w:pPr>
      <w:r>
        <w:t>Management of grant agreements</w:t>
      </w:r>
    </w:p>
    <w:p w14:paraId="7D24F6FC" w14:textId="77777777" w:rsidR="007F7AB9" w:rsidRDefault="007F7AB9" w:rsidP="007F7AB9">
      <w:pPr>
        <w:pStyle w:val="ListParagraph"/>
        <w:numPr>
          <w:ilvl w:val="0"/>
          <w:numId w:val="16"/>
        </w:numPr>
        <w:spacing w:after="0" w:line="240" w:lineRule="auto"/>
        <w:jc w:val="both"/>
      </w:pPr>
      <w:r>
        <w:t>Provide regular reports to the funder Shell</w:t>
      </w:r>
    </w:p>
    <w:p w14:paraId="0E242B32" w14:textId="77777777" w:rsidR="007F7AB9" w:rsidRDefault="007F7AB9" w:rsidP="007F7AB9">
      <w:pPr>
        <w:pStyle w:val="ListParagraph"/>
        <w:numPr>
          <w:ilvl w:val="0"/>
          <w:numId w:val="16"/>
        </w:numPr>
        <w:spacing w:after="0" w:line="240" w:lineRule="auto"/>
        <w:jc w:val="both"/>
      </w:pPr>
      <w:r>
        <w:t>Organising quarterly review meetings for the project</w:t>
      </w:r>
    </w:p>
    <w:p w14:paraId="1C99C434" w14:textId="77777777" w:rsidR="007F7AB9" w:rsidRDefault="007F7AB9" w:rsidP="007F7AB9">
      <w:pPr>
        <w:pStyle w:val="ListParagraph"/>
        <w:numPr>
          <w:ilvl w:val="0"/>
          <w:numId w:val="16"/>
        </w:numPr>
        <w:spacing w:after="0" w:line="240" w:lineRule="auto"/>
        <w:jc w:val="both"/>
      </w:pPr>
      <w:r>
        <w:t>Provide reporting templates</w:t>
      </w:r>
    </w:p>
    <w:p w14:paraId="5208CAB8" w14:textId="77777777" w:rsidR="007F7AB9" w:rsidRDefault="007F7AB9" w:rsidP="007F7AB9">
      <w:pPr>
        <w:pStyle w:val="ListParagraph"/>
        <w:numPr>
          <w:ilvl w:val="0"/>
          <w:numId w:val="16"/>
        </w:numPr>
        <w:spacing w:after="0" w:line="240" w:lineRule="auto"/>
        <w:jc w:val="both"/>
      </w:pPr>
      <w:r>
        <w:t>Management of online presence including TEEQ web presence on the TE website</w:t>
      </w:r>
    </w:p>
    <w:p w14:paraId="3655C7CA" w14:textId="77777777" w:rsidR="007F7AB9" w:rsidRDefault="007F7AB9" w:rsidP="007F7AB9">
      <w:pPr>
        <w:pStyle w:val="ListParagraph"/>
        <w:numPr>
          <w:ilvl w:val="0"/>
          <w:numId w:val="16"/>
        </w:numPr>
        <w:spacing w:after="0" w:line="240" w:lineRule="auto"/>
        <w:jc w:val="both"/>
      </w:pPr>
      <w:r>
        <w:t xml:space="preserve">Evaluation scheme </w:t>
      </w:r>
    </w:p>
    <w:p w14:paraId="13DE6D26" w14:textId="77777777" w:rsidR="007F7AB9" w:rsidRDefault="007F7AB9" w:rsidP="007F7AB9">
      <w:pPr>
        <w:pStyle w:val="ListParagraph"/>
        <w:numPr>
          <w:ilvl w:val="0"/>
          <w:numId w:val="16"/>
        </w:numPr>
        <w:spacing w:after="0" w:line="240" w:lineRule="auto"/>
        <w:jc w:val="both"/>
      </w:pPr>
      <w:r>
        <w:t>Programme management support</w:t>
      </w:r>
    </w:p>
    <w:p w14:paraId="570DF956" w14:textId="773CF7A7" w:rsidR="007F7AB9" w:rsidRDefault="007F7AB9" w:rsidP="007F7AB9">
      <w:pPr>
        <w:pStyle w:val="ListParagraph"/>
        <w:numPr>
          <w:ilvl w:val="0"/>
          <w:numId w:val="16"/>
        </w:numPr>
        <w:spacing w:after="0" w:line="240" w:lineRule="auto"/>
        <w:jc w:val="both"/>
      </w:pPr>
      <w:r>
        <w:t>Access to the Tomorrow’s Engineers Schools Database</w:t>
      </w:r>
    </w:p>
    <w:p w14:paraId="78F5AC37" w14:textId="1312A4BF" w:rsidR="00BD3011" w:rsidRDefault="00BD3011" w:rsidP="007F7AB9">
      <w:pPr>
        <w:pStyle w:val="ListParagraph"/>
        <w:numPr>
          <w:ilvl w:val="0"/>
          <w:numId w:val="16"/>
        </w:numPr>
        <w:spacing w:after="0" w:line="240" w:lineRule="auto"/>
        <w:jc w:val="both"/>
      </w:pPr>
      <w:r>
        <w:t xml:space="preserve">Engaging other national bodies to build support for the programme (E.g. STEM Learning) </w:t>
      </w:r>
    </w:p>
    <w:p w14:paraId="630CE6EA" w14:textId="56989658" w:rsidR="00BD3011" w:rsidRDefault="00BD3011" w:rsidP="007F7AB9">
      <w:pPr>
        <w:pStyle w:val="ListParagraph"/>
        <w:numPr>
          <w:ilvl w:val="0"/>
          <w:numId w:val="16"/>
        </w:numPr>
        <w:spacing w:after="0" w:line="240" w:lineRule="auto"/>
        <w:jc w:val="both"/>
      </w:pPr>
      <w:r>
        <w:t>PR, comm</w:t>
      </w:r>
      <w:r w:rsidR="006041B8">
        <w:t>unication</w:t>
      </w:r>
      <w:r>
        <w:t xml:space="preserve">s and marketing for the programme </w:t>
      </w:r>
      <w:r w:rsidR="00BD4AE8">
        <w:t>nationally</w:t>
      </w:r>
      <w:r w:rsidR="00044AF7">
        <w:t>, which can be localised by the delivery organisation(s)</w:t>
      </w:r>
    </w:p>
    <w:p w14:paraId="36CCA448" w14:textId="2E68F865" w:rsidR="0042731A" w:rsidRDefault="0042731A" w:rsidP="007F7AB9">
      <w:pPr>
        <w:pStyle w:val="ListParagraph"/>
        <w:numPr>
          <w:ilvl w:val="0"/>
          <w:numId w:val="16"/>
        </w:numPr>
        <w:spacing w:after="0" w:line="240" w:lineRule="auto"/>
        <w:jc w:val="both"/>
      </w:pPr>
      <w:r>
        <w:t xml:space="preserve">Ongoing support for the CCS module (in those </w:t>
      </w:r>
      <w:r w:rsidR="0053527A">
        <w:t xml:space="preserve">schools </w:t>
      </w:r>
      <w:r>
        <w:t>which have the kit)</w:t>
      </w:r>
    </w:p>
    <w:p w14:paraId="15652BB1" w14:textId="234EA043" w:rsidR="003F753B" w:rsidRDefault="00F40F3D" w:rsidP="00F40F3D">
      <w:pPr>
        <w:pStyle w:val="ListParagraph"/>
        <w:numPr>
          <w:ilvl w:val="0"/>
          <w:numId w:val="16"/>
        </w:numPr>
        <w:spacing w:after="0" w:line="240" w:lineRule="auto"/>
      </w:pPr>
      <w:r w:rsidRPr="00F40F3D">
        <w:t>Coordinate presence of TEEQ at the Big Bang Fair</w:t>
      </w:r>
    </w:p>
    <w:p w14:paraId="46CC9343" w14:textId="77777777" w:rsidR="004701FF" w:rsidRDefault="004701FF" w:rsidP="003F753B">
      <w:pPr>
        <w:spacing w:after="0" w:line="240" w:lineRule="auto"/>
      </w:pPr>
    </w:p>
    <w:p w14:paraId="359F0C7D" w14:textId="4BC009B7" w:rsidR="00931040" w:rsidRPr="00CF35A5" w:rsidRDefault="00931040" w:rsidP="00931040">
      <w:pPr>
        <w:spacing w:after="0" w:line="240" w:lineRule="auto"/>
        <w:rPr>
          <w:b/>
        </w:rPr>
      </w:pPr>
      <w:r w:rsidRPr="00CF35A5">
        <w:rPr>
          <w:b/>
        </w:rPr>
        <w:t>Budget</w:t>
      </w:r>
    </w:p>
    <w:p w14:paraId="20DA981C" w14:textId="77777777" w:rsidR="00CF35A5" w:rsidRDefault="00CF35A5" w:rsidP="00931040">
      <w:pPr>
        <w:spacing w:after="0" w:line="240" w:lineRule="auto"/>
      </w:pPr>
    </w:p>
    <w:p w14:paraId="5A0E79BE" w14:textId="57E6EB61" w:rsidR="00AE1273" w:rsidRDefault="00931040" w:rsidP="00931040">
      <w:pPr>
        <w:spacing w:after="0" w:line="240" w:lineRule="auto"/>
      </w:pPr>
      <w:r>
        <w:t xml:space="preserve">The funding will be provided and administered </w:t>
      </w:r>
      <w:r w:rsidR="00AE1273">
        <w:t>by EUK</w:t>
      </w:r>
      <w:r>
        <w:t xml:space="preserve"> on behalf of Shell</w:t>
      </w:r>
      <w:r w:rsidR="00AE1273">
        <w:t xml:space="preserve"> and the available budget </w:t>
      </w:r>
      <w:r w:rsidR="00044AF7">
        <w:t>i</w:t>
      </w:r>
      <w:r w:rsidR="00F926D5">
        <w:t>s</w:t>
      </w:r>
      <w:r w:rsidR="00AE1273">
        <w:t xml:space="preserve"> </w:t>
      </w:r>
      <w:r w:rsidR="00E0371F">
        <w:t>below.</w:t>
      </w:r>
    </w:p>
    <w:p w14:paraId="269B571F" w14:textId="77777777" w:rsidR="00931040" w:rsidRDefault="00931040" w:rsidP="003F753B">
      <w:pPr>
        <w:spacing w:after="0" w:line="240" w:lineRule="auto"/>
      </w:pPr>
    </w:p>
    <w:p w14:paraId="4264694A" w14:textId="45A35136" w:rsidR="00F926D5" w:rsidRDefault="00BD3011" w:rsidP="003F753B">
      <w:pPr>
        <w:spacing w:after="0" w:line="240" w:lineRule="auto"/>
      </w:pPr>
      <w:r>
        <w:rPr>
          <w:b/>
        </w:rPr>
        <w:t>Package</w:t>
      </w:r>
      <w:r w:rsidR="00AE1273" w:rsidRPr="0094616D">
        <w:rPr>
          <w:b/>
        </w:rPr>
        <w:t xml:space="preserve"> A</w:t>
      </w:r>
      <w:r w:rsidR="00F926D5">
        <w:rPr>
          <w:b/>
        </w:rPr>
        <w:t>:</w:t>
      </w:r>
      <w:r w:rsidR="00AE1273" w:rsidRPr="0094616D">
        <w:rPr>
          <w:b/>
        </w:rPr>
        <w:t xml:space="preserve">  </w:t>
      </w:r>
      <w:r w:rsidR="00CF35A5" w:rsidRPr="0094616D">
        <w:rPr>
          <w:b/>
        </w:rPr>
        <w:t>Delivery</w:t>
      </w:r>
    </w:p>
    <w:p w14:paraId="2BBC04A7" w14:textId="1588CA36" w:rsidR="00CF35A5" w:rsidRDefault="00CF35A5" w:rsidP="0094616D">
      <w:pPr>
        <w:pStyle w:val="ListParagraph"/>
        <w:numPr>
          <w:ilvl w:val="0"/>
          <w:numId w:val="11"/>
        </w:numPr>
        <w:spacing w:after="0" w:line="240" w:lineRule="auto"/>
        <w:ind w:left="426" w:hanging="426"/>
        <w:jc w:val="both"/>
      </w:pPr>
      <w:r w:rsidRPr="0094616D">
        <w:rPr>
          <w:rFonts w:ascii="Calibri" w:eastAsia="Calibri" w:hAnsi="Calibri" w:cs="Times New Roman"/>
        </w:rPr>
        <w:lastRenderedPageBreak/>
        <w:t xml:space="preserve">Budget of up to </w:t>
      </w:r>
      <w:r w:rsidRPr="00450557">
        <w:rPr>
          <w:rFonts w:ascii="Calibri" w:eastAsia="Calibri" w:hAnsi="Calibri" w:cs="Times New Roman"/>
          <w:b/>
        </w:rPr>
        <w:t>£</w:t>
      </w:r>
      <w:r w:rsidR="008A75F7">
        <w:rPr>
          <w:rFonts w:ascii="Calibri" w:eastAsia="Calibri" w:hAnsi="Calibri" w:cs="Times New Roman"/>
          <w:b/>
        </w:rPr>
        <w:t>739,000</w:t>
      </w:r>
      <w:r w:rsidRPr="0094616D">
        <w:rPr>
          <w:rFonts w:ascii="Calibri" w:eastAsia="Calibri" w:hAnsi="Calibri" w:cs="Times New Roman"/>
        </w:rPr>
        <w:t xml:space="preserve"> over three years to deliver </w:t>
      </w:r>
      <w:r w:rsidR="007F7AB9">
        <w:rPr>
          <w:rFonts w:ascii="Calibri" w:eastAsia="Calibri" w:hAnsi="Calibri" w:cs="Times New Roman"/>
        </w:rPr>
        <w:t>an agreed amount</w:t>
      </w:r>
      <w:r w:rsidRPr="0094616D">
        <w:rPr>
          <w:rFonts w:ascii="Calibri" w:eastAsia="Calibri" w:hAnsi="Calibri" w:cs="Times New Roman"/>
        </w:rPr>
        <w:t xml:space="preserve"> engagements</w:t>
      </w:r>
      <w:r w:rsidR="000D1B08">
        <w:rPr>
          <w:rFonts w:ascii="Calibri" w:eastAsia="Calibri" w:hAnsi="Calibri" w:cs="Times New Roman"/>
        </w:rPr>
        <w:t xml:space="preserve"> split evenly across the 11 regions</w:t>
      </w:r>
    </w:p>
    <w:p w14:paraId="670B3EE3" w14:textId="3BC22E4B" w:rsidR="00CF35A5" w:rsidRDefault="00876F23" w:rsidP="0094616D">
      <w:pPr>
        <w:pStyle w:val="ListParagraph"/>
        <w:numPr>
          <w:ilvl w:val="0"/>
          <w:numId w:val="11"/>
        </w:numPr>
        <w:spacing w:after="0" w:line="240" w:lineRule="auto"/>
        <w:ind w:left="426" w:hanging="426"/>
      </w:pPr>
      <w:r>
        <w:t xml:space="preserve">You will need to show how you will split this budget to cover the </w:t>
      </w:r>
      <w:r w:rsidR="00BD3011">
        <w:t xml:space="preserve">deliverables </w:t>
      </w:r>
      <w:r>
        <w:t>described</w:t>
      </w:r>
    </w:p>
    <w:p w14:paraId="2A2479AD" w14:textId="77777777" w:rsidR="00876F23" w:rsidRPr="0094616D" w:rsidRDefault="00876F23" w:rsidP="0094616D">
      <w:pPr>
        <w:spacing w:after="0" w:line="240" w:lineRule="auto"/>
        <w:ind w:left="426" w:hanging="426"/>
        <w:rPr>
          <w:b/>
        </w:rPr>
      </w:pPr>
    </w:p>
    <w:p w14:paraId="35786F35" w14:textId="50EB0D55" w:rsidR="00CF35A5" w:rsidRPr="0094616D" w:rsidRDefault="00BD3011" w:rsidP="0094616D">
      <w:pPr>
        <w:spacing w:after="0" w:line="240" w:lineRule="auto"/>
        <w:ind w:left="426" w:hanging="426"/>
        <w:rPr>
          <w:b/>
        </w:rPr>
      </w:pPr>
      <w:r>
        <w:rPr>
          <w:b/>
        </w:rPr>
        <w:t xml:space="preserve">Package </w:t>
      </w:r>
      <w:r w:rsidR="00AE1273" w:rsidRPr="0094616D">
        <w:rPr>
          <w:b/>
        </w:rPr>
        <w:t>B</w:t>
      </w:r>
      <w:r w:rsidR="00F926D5">
        <w:rPr>
          <w:b/>
        </w:rPr>
        <w:t>:</w:t>
      </w:r>
      <w:r w:rsidR="00CF35A5" w:rsidRPr="0094616D">
        <w:rPr>
          <w:b/>
        </w:rPr>
        <w:t xml:space="preserve"> – Development of </w:t>
      </w:r>
      <w:r w:rsidR="00F926D5">
        <w:rPr>
          <w:b/>
        </w:rPr>
        <w:t xml:space="preserve">existing or new intervention </w:t>
      </w:r>
    </w:p>
    <w:p w14:paraId="6BED8BC9" w14:textId="77777777" w:rsidR="00CF35A5" w:rsidRDefault="00CF35A5" w:rsidP="0094616D">
      <w:pPr>
        <w:spacing w:after="0" w:line="240" w:lineRule="auto"/>
        <w:ind w:left="426" w:hanging="426"/>
      </w:pPr>
    </w:p>
    <w:p w14:paraId="5CAAE7CF" w14:textId="2376C153" w:rsidR="00FD7B4E" w:rsidRDefault="00CF35A5" w:rsidP="0094616D">
      <w:pPr>
        <w:pStyle w:val="ListParagraph"/>
        <w:numPr>
          <w:ilvl w:val="0"/>
          <w:numId w:val="13"/>
        </w:numPr>
        <w:spacing w:after="0" w:line="240" w:lineRule="auto"/>
        <w:ind w:left="426" w:hanging="426"/>
      </w:pPr>
      <w:r>
        <w:t>Budget of</w:t>
      </w:r>
      <w:r w:rsidR="00876F23">
        <w:t xml:space="preserve"> up to</w:t>
      </w:r>
      <w:r>
        <w:t xml:space="preserve"> </w:t>
      </w:r>
      <w:r w:rsidRPr="006C4E8B">
        <w:rPr>
          <w:b/>
        </w:rPr>
        <w:t>£30,000</w:t>
      </w:r>
      <w:r>
        <w:t xml:space="preserve"> </w:t>
      </w:r>
      <w:r w:rsidR="00876F23">
        <w:t xml:space="preserve">if submitting an existing intervention to be adapted for </w:t>
      </w:r>
      <w:r w:rsidR="00BD3011">
        <w:t xml:space="preserve">Package </w:t>
      </w:r>
      <w:r w:rsidR="00F926D5">
        <w:t>B</w:t>
      </w:r>
    </w:p>
    <w:p w14:paraId="144FED2A" w14:textId="77777777" w:rsidR="00876F23" w:rsidRDefault="00876F23" w:rsidP="0094616D">
      <w:pPr>
        <w:pStyle w:val="ListParagraph"/>
        <w:spacing w:after="0" w:line="240" w:lineRule="auto"/>
        <w:ind w:left="426"/>
      </w:pPr>
    </w:p>
    <w:p w14:paraId="238BE790" w14:textId="1B887C82" w:rsidR="00FD7B4E" w:rsidRDefault="00FD7B4E" w:rsidP="0094616D">
      <w:pPr>
        <w:pStyle w:val="ListParagraph"/>
        <w:spacing w:after="0" w:line="240" w:lineRule="auto"/>
        <w:ind w:left="426" w:hanging="426"/>
      </w:pPr>
      <w:r>
        <w:t>O</w:t>
      </w:r>
      <w:r w:rsidR="00876F23">
        <w:t>r</w:t>
      </w:r>
    </w:p>
    <w:p w14:paraId="6F890E51" w14:textId="77777777" w:rsidR="00876F23" w:rsidRDefault="00876F23" w:rsidP="0094616D">
      <w:pPr>
        <w:pStyle w:val="ListParagraph"/>
        <w:spacing w:after="0" w:line="240" w:lineRule="auto"/>
        <w:ind w:left="426" w:hanging="426"/>
      </w:pPr>
    </w:p>
    <w:p w14:paraId="0DCE11CB" w14:textId="1DE34AF8" w:rsidR="00876F23" w:rsidRDefault="00876F23" w:rsidP="0094616D">
      <w:pPr>
        <w:pStyle w:val="ListParagraph"/>
        <w:numPr>
          <w:ilvl w:val="0"/>
          <w:numId w:val="13"/>
        </w:numPr>
        <w:spacing w:after="0" w:line="240" w:lineRule="auto"/>
        <w:ind w:left="426" w:hanging="426"/>
      </w:pPr>
      <w:r>
        <w:t xml:space="preserve">Budget of up to </w:t>
      </w:r>
      <w:r w:rsidRPr="006C4E8B">
        <w:rPr>
          <w:b/>
        </w:rPr>
        <w:t>£50,000</w:t>
      </w:r>
      <w:r>
        <w:t xml:space="preserve"> if developing a new intervention for </w:t>
      </w:r>
      <w:r w:rsidR="00BD3011">
        <w:t xml:space="preserve">Package </w:t>
      </w:r>
      <w:r w:rsidR="00F926D5">
        <w:t>B</w:t>
      </w:r>
    </w:p>
    <w:p w14:paraId="09A36D85" w14:textId="77777777" w:rsidR="00876F23" w:rsidRDefault="00876F23" w:rsidP="0094616D">
      <w:pPr>
        <w:spacing w:after="0" w:line="240" w:lineRule="auto"/>
        <w:ind w:left="426" w:hanging="426"/>
      </w:pPr>
    </w:p>
    <w:p w14:paraId="32D8FB65" w14:textId="77777777" w:rsidR="00CF35A5" w:rsidRDefault="00CF35A5" w:rsidP="003F753B">
      <w:pPr>
        <w:spacing w:after="0" w:line="240" w:lineRule="auto"/>
      </w:pPr>
    </w:p>
    <w:p w14:paraId="12479B3C" w14:textId="22A3FA17" w:rsidR="0023523D" w:rsidRPr="0023523D" w:rsidRDefault="0023523D" w:rsidP="0023523D">
      <w:pPr>
        <w:spacing w:after="0" w:line="240" w:lineRule="auto"/>
        <w:jc w:val="both"/>
        <w:rPr>
          <w:b/>
        </w:rPr>
      </w:pPr>
      <w:r w:rsidRPr="0023523D">
        <w:rPr>
          <w:b/>
        </w:rPr>
        <w:t>Timeline for tender process</w:t>
      </w:r>
    </w:p>
    <w:p w14:paraId="601AFFE6" w14:textId="77777777" w:rsidR="0023523D" w:rsidRDefault="0023523D" w:rsidP="0023523D">
      <w:pPr>
        <w:spacing w:after="0" w:line="240" w:lineRule="auto"/>
        <w:jc w:val="both"/>
      </w:pPr>
    </w:p>
    <w:tbl>
      <w:tblPr>
        <w:tblStyle w:val="TableGrid"/>
        <w:tblW w:w="0" w:type="auto"/>
        <w:tblLook w:val="04A0" w:firstRow="1" w:lastRow="0" w:firstColumn="1" w:lastColumn="0" w:noHBand="0" w:noVBand="1"/>
      </w:tblPr>
      <w:tblGrid>
        <w:gridCol w:w="2122"/>
        <w:gridCol w:w="6378"/>
      </w:tblGrid>
      <w:tr w:rsidR="00F926D5" w14:paraId="7E905862" w14:textId="77777777" w:rsidTr="0094616D">
        <w:tc>
          <w:tcPr>
            <w:tcW w:w="2122" w:type="dxa"/>
          </w:tcPr>
          <w:p w14:paraId="06D806C1" w14:textId="77777777" w:rsidR="0023523D" w:rsidRPr="0094616D" w:rsidRDefault="0023523D" w:rsidP="000523CB">
            <w:pPr>
              <w:rPr>
                <w:b/>
              </w:rPr>
            </w:pPr>
            <w:r w:rsidRPr="0094616D">
              <w:rPr>
                <w:b/>
              </w:rPr>
              <w:t>Date</w:t>
            </w:r>
          </w:p>
        </w:tc>
        <w:tc>
          <w:tcPr>
            <w:tcW w:w="6378" w:type="dxa"/>
          </w:tcPr>
          <w:p w14:paraId="2887D8AE" w14:textId="77777777" w:rsidR="0023523D" w:rsidRPr="0094616D" w:rsidRDefault="0023523D" w:rsidP="000523CB">
            <w:pPr>
              <w:rPr>
                <w:b/>
              </w:rPr>
            </w:pPr>
            <w:r w:rsidRPr="0094616D">
              <w:rPr>
                <w:b/>
              </w:rPr>
              <w:t>Action</w:t>
            </w:r>
          </w:p>
        </w:tc>
      </w:tr>
      <w:tr w:rsidR="00F926D5" w14:paraId="564A4A75" w14:textId="77777777" w:rsidTr="0094616D">
        <w:tc>
          <w:tcPr>
            <w:tcW w:w="2122" w:type="dxa"/>
          </w:tcPr>
          <w:p w14:paraId="029BAB41" w14:textId="77777777" w:rsidR="0023523D" w:rsidRDefault="0023523D" w:rsidP="000523CB">
            <w:r>
              <w:t>13/02/17</w:t>
            </w:r>
          </w:p>
        </w:tc>
        <w:tc>
          <w:tcPr>
            <w:tcW w:w="6378" w:type="dxa"/>
          </w:tcPr>
          <w:p w14:paraId="290595A3" w14:textId="77777777" w:rsidR="0023523D" w:rsidRDefault="0023523D" w:rsidP="000523CB">
            <w:r>
              <w:t>RfP to go out</w:t>
            </w:r>
          </w:p>
        </w:tc>
      </w:tr>
      <w:tr w:rsidR="00F926D5" w14:paraId="3A27704A" w14:textId="77777777" w:rsidTr="0094616D">
        <w:tc>
          <w:tcPr>
            <w:tcW w:w="2122" w:type="dxa"/>
          </w:tcPr>
          <w:p w14:paraId="7B175CD7" w14:textId="77777777" w:rsidR="0023523D" w:rsidRDefault="0023523D" w:rsidP="000523CB">
            <w:r>
              <w:t xml:space="preserve">21/02/17 – 27/03/17 </w:t>
            </w:r>
          </w:p>
        </w:tc>
        <w:tc>
          <w:tcPr>
            <w:tcW w:w="6378" w:type="dxa"/>
          </w:tcPr>
          <w:p w14:paraId="4A51AB5A" w14:textId="77777777" w:rsidR="0023523D" w:rsidRDefault="0023523D" w:rsidP="000523CB">
            <w:r>
              <w:t>Opportunity for organisations to meet with EUK to discuss tender</w:t>
            </w:r>
          </w:p>
        </w:tc>
      </w:tr>
      <w:tr w:rsidR="00F926D5" w14:paraId="31D2A115" w14:textId="77777777" w:rsidTr="0094616D">
        <w:tc>
          <w:tcPr>
            <w:tcW w:w="2122" w:type="dxa"/>
          </w:tcPr>
          <w:p w14:paraId="160BA37F" w14:textId="77777777" w:rsidR="0023523D" w:rsidRDefault="0023523D" w:rsidP="000523CB">
            <w:r>
              <w:t>03/04/17</w:t>
            </w:r>
          </w:p>
        </w:tc>
        <w:tc>
          <w:tcPr>
            <w:tcW w:w="6378" w:type="dxa"/>
          </w:tcPr>
          <w:p w14:paraId="578C0618" w14:textId="77777777" w:rsidR="0023523D" w:rsidRDefault="0023523D" w:rsidP="000523CB">
            <w:r>
              <w:t>Deadline for submission</w:t>
            </w:r>
          </w:p>
        </w:tc>
      </w:tr>
      <w:tr w:rsidR="00F926D5" w14:paraId="7DAD47CF" w14:textId="77777777" w:rsidTr="0094616D">
        <w:tc>
          <w:tcPr>
            <w:tcW w:w="2122" w:type="dxa"/>
          </w:tcPr>
          <w:p w14:paraId="787A7EB6" w14:textId="77777777" w:rsidR="0023523D" w:rsidRDefault="0023523D" w:rsidP="000523CB">
            <w:r>
              <w:t xml:space="preserve">4-21/04/17 </w:t>
            </w:r>
          </w:p>
        </w:tc>
        <w:tc>
          <w:tcPr>
            <w:tcW w:w="6378" w:type="dxa"/>
          </w:tcPr>
          <w:p w14:paraId="0E5C1564" w14:textId="77777777" w:rsidR="0023523D" w:rsidRDefault="0023523D" w:rsidP="000523CB">
            <w:r>
              <w:t>Shortlist organisations</w:t>
            </w:r>
          </w:p>
        </w:tc>
      </w:tr>
      <w:tr w:rsidR="00F926D5" w14:paraId="67BAE71B" w14:textId="77777777" w:rsidTr="0094616D">
        <w:tc>
          <w:tcPr>
            <w:tcW w:w="2122" w:type="dxa"/>
          </w:tcPr>
          <w:p w14:paraId="7BA8D006" w14:textId="77777777" w:rsidR="0023523D" w:rsidRDefault="0023523D" w:rsidP="000523CB">
            <w:r>
              <w:t>24-29/04/17</w:t>
            </w:r>
          </w:p>
        </w:tc>
        <w:tc>
          <w:tcPr>
            <w:tcW w:w="6378" w:type="dxa"/>
          </w:tcPr>
          <w:p w14:paraId="164171E4" w14:textId="77777777" w:rsidR="0023523D" w:rsidRDefault="0023523D" w:rsidP="000523CB">
            <w:r>
              <w:t>Inform organisation if invited to interview</w:t>
            </w:r>
          </w:p>
        </w:tc>
      </w:tr>
      <w:tr w:rsidR="00F926D5" w14:paraId="454138C5" w14:textId="77777777" w:rsidTr="0094616D">
        <w:tc>
          <w:tcPr>
            <w:tcW w:w="2122" w:type="dxa"/>
          </w:tcPr>
          <w:p w14:paraId="0840E841" w14:textId="77777777" w:rsidR="0023523D" w:rsidRDefault="0023523D" w:rsidP="000523CB">
            <w:r>
              <w:t>w/c 01/05/17</w:t>
            </w:r>
          </w:p>
        </w:tc>
        <w:tc>
          <w:tcPr>
            <w:tcW w:w="6378" w:type="dxa"/>
          </w:tcPr>
          <w:p w14:paraId="3D1AB93D" w14:textId="77777777" w:rsidR="0023523D" w:rsidRDefault="0023523D" w:rsidP="000523CB">
            <w:r>
              <w:t>Interview shortlisted organisations</w:t>
            </w:r>
          </w:p>
        </w:tc>
      </w:tr>
      <w:tr w:rsidR="00F926D5" w14:paraId="273F5A5D" w14:textId="77777777" w:rsidTr="0094616D">
        <w:tc>
          <w:tcPr>
            <w:tcW w:w="2122" w:type="dxa"/>
          </w:tcPr>
          <w:p w14:paraId="722BAEB6" w14:textId="77777777" w:rsidR="0023523D" w:rsidRDefault="0023523D" w:rsidP="000523CB">
            <w:r>
              <w:t>w/c 22/05/17</w:t>
            </w:r>
          </w:p>
        </w:tc>
        <w:tc>
          <w:tcPr>
            <w:tcW w:w="6378" w:type="dxa"/>
          </w:tcPr>
          <w:p w14:paraId="10DA7175" w14:textId="73485837" w:rsidR="0023523D" w:rsidRDefault="00FD7B4E" w:rsidP="00BD3011">
            <w:r>
              <w:t xml:space="preserve">Successful delivery partners </w:t>
            </w:r>
            <w:r w:rsidR="00BD3011">
              <w:t xml:space="preserve">informed </w:t>
            </w:r>
            <w:r w:rsidR="00AD6C20">
              <w:t>and commencement of P</w:t>
            </w:r>
            <w:r w:rsidR="00BD3011">
              <w:t>ackage</w:t>
            </w:r>
            <w:r w:rsidR="00AD6C20">
              <w:t xml:space="preserve"> B development</w:t>
            </w:r>
          </w:p>
        </w:tc>
      </w:tr>
      <w:tr w:rsidR="00F926D5" w14:paraId="73776F8B" w14:textId="77777777" w:rsidTr="0094616D">
        <w:tc>
          <w:tcPr>
            <w:tcW w:w="2122" w:type="dxa"/>
          </w:tcPr>
          <w:p w14:paraId="447A78DA" w14:textId="77777777" w:rsidR="0023523D" w:rsidRDefault="0023523D" w:rsidP="000523CB">
            <w:r>
              <w:t>21/08/17</w:t>
            </w:r>
          </w:p>
        </w:tc>
        <w:tc>
          <w:tcPr>
            <w:tcW w:w="6378" w:type="dxa"/>
          </w:tcPr>
          <w:p w14:paraId="297B1F95" w14:textId="396D2D91" w:rsidR="0023523D" w:rsidRDefault="0023523D" w:rsidP="00AD6C20">
            <w:r>
              <w:t xml:space="preserve">Commencement of </w:t>
            </w:r>
            <w:r w:rsidR="00AD6C20">
              <w:t>P</w:t>
            </w:r>
            <w:r w:rsidR="00BD3011">
              <w:t>ackage</w:t>
            </w:r>
            <w:r w:rsidR="00AD6C20">
              <w:t xml:space="preserve"> A delivery</w:t>
            </w:r>
          </w:p>
        </w:tc>
      </w:tr>
    </w:tbl>
    <w:p w14:paraId="78C011F4" w14:textId="77777777" w:rsidR="0023523D" w:rsidRDefault="0023523D" w:rsidP="0023523D">
      <w:pPr>
        <w:spacing w:after="0" w:line="240" w:lineRule="auto"/>
        <w:jc w:val="both"/>
        <w:rPr>
          <w:rFonts w:ascii="Calibri" w:eastAsia="Calibri" w:hAnsi="Calibri" w:cs="Times New Roman"/>
          <w:b/>
        </w:rPr>
      </w:pPr>
    </w:p>
    <w:p w14:paraId="7B7DBD77" w14:textId="77777777" w:rsidR="0023523D" w:rsidRDefault="0023523D" w:rsidP="0023523D">
      <w:pPr>
        <w:spacing w:after="0" w:line="240" w:lineRule="auto"/>
        <w:jc w:val="both"/>
        <w:rPr>
          <w:rFonts w:ascii="Calibri" w:eastAsia="Calibri" w:hAnsi="Calibri" w:cs="Times New Roman"/>
          <w:b/>
        </w:rPr>
      </w:pPr>
    </w:p>
    <w:p w14:paraId="2090D6C8" w14:textId="77777777" w:rsidR="00410A7C" w:rsidRPr="00410A7C" w:rsidRDefault="00410A7C" w:rsidP="00410A7C">
      <w:pPr>
        <w:spacing w:after="0" w:line="240" w:lineRule="auto"/>
        <w:rPr>
          <w:b/>
        </w:rPr>
      </w:pPr>
      <w:r w:rsidRPr="00410A7C">
        <w:rPr>
          <w:b/>
        </w:rPr>
        <w:t>Selection Criteria</w:t>
      </w:r>
    </w:p>
    <w:p w14:paraId="22A70FFD" w14:textId="77777777" w:rsidR="00410A7C" w:rsidRDefault="00410A7C" w:rsidP="00410A7C">
      <w:pPr>
        <w:spacing w:after="0" w:line="240" w:lineRule="auto"/>
      </w:pPr>
    </w:p>
    <w:p w14:paraId="6F8C8840" w14:textId="33476A48" w:rsidR="00410A7C" w:rsidRDefault="00410A7C" w:rsidP="00410A7C">
      <w:pPr>
        <w:spacing w:after="0" w:line="240" w:lineRule="auto"/>
      </w:pPr>
      <w:r>
        <w:t>We will be evaluating the proposals based on the following criteria</w:t>
      </w:r>
      <w:r w:rsidR="00876F23">
        <w:t xml:space="preserve"> with the attached weightings</w:t>
      </w:r>
      <w:r>
        <w:t>:</w:t>
      </w:r>
    </w:p>
    <w:p w14:paraId="7E1D27E9" w14:textId="77777777" w:rsidR="00410A7C" w:rsidRDefault="00410A7C" w:rsidP="00410A7C">
      <w:pPr>
        <w:spacing w:after="0" w:line="240" w:lineRule="auto"/>
      </w:pPr>
    </w:p>
    <w:p w14:paraId="1E72015A" w14:textId="2C79F802" w:rsidR="00876F23" w:rsidRPr="0094616D" w:rsidRDefault="00BD3011" w:rsidP="00410A7C">
      <w:pPr>
        <w:spacing w:after="0" w:line="240" w:lineRule="auto"/>
        <w:rPr>
          <w:b/>
        </w:rPr>
      </w:pPr>
      <w:r w:rsidRPr="008A75F7">
        <w:rPr>
          <w:b/>
        </w:rPr>
        <w:t>Package</w:t>
      </w:r>
      <w:r>
        <w:t xml:space="preserve"> </w:t>
      </w:r>
      <w:r w:rsidR="00A326C2" w:rsidRPr="0094616D">
        <w:rPr>
          <w:b/>
        </w:rPr>
        <w:t>A</w:t>
      </w:r>
      <w:r w:rsidR="00876F23" w:rsidRPr="0094616D">
        <w:rPr>
          <w:b/>
        </w:rPr>
        <w:t xml:space="preserve"> </w:t>
      </w:r>
    </w:p>
    <w:p w14:paraId="16AAA9A6" w14:textId="77777777" w:rsidR="00876F23" w:rsidRDefault="00876F23" w:rsidP="00410A7C">
      <w:pPr>
        <w:spacing w:after="0" w:line="240" w:lineRule="auto"/>
      </w:pPr>
    </w:p>
    <w:tbl>
      <w:tblPr>
        <w:tblStyle w:val="TableGrid"/>
        <w:tblW w:w="9252" w:type="dxa"/>
        <w:tblLook w:val="04A0" w:firstRow="1" w:lastRow="0" w:firstColumn="1" w:lastColumn="0" w:noHBand="0" w:noVBand="1"/>
      </w:tblPr>
      <w:tblGrid>
        <w:gridCol w:w="7843"/>
        <w:gridCol w:w="1409"/>
      </w:tblGrid>
      <w:tr w:rsidR="001937E4" w14:paraId="43DCA416" w14:textId="77777777" w:rsidTr="004966E0">
        <w:tc>
          <w:tcPr>
            <w:tcW w:w="7843" w:type="dxa"/>
          </w:tcPr>
          <w:p w14:paraId="71E0727A" w14:textId="028FA694" w:rsidR="000D6524" w:rsidRPr="0094616D" w:rsidRDefault="000D6524" w:rsidP="0094616D">
            <w:pPr>
              <w:pStyle w:val="ListParagraph"/>
              <w:ind w:left="311"/>
              <w:rPr>
                <w:b/>
              </w:rPr>
            </w:pPr>
            <w:r w:rsidRPr="0094616D">
              <w:rPr>
                <w:b/>
              </w:rPr>
              <w:t>Criteria</w:t>
            </w:r>
          </w:p>
        </w:tc>
        <w:tc>
          <w:tcPr>
            <w:tcW w:w="1409" w:type="dxa"/>
          </w:tcPr>
          <w:p w14:paraId="4A94A722" w14:textId="532675DA" w:rsidR="000D6524" w:rsidRPr="0094616D" w:rsidRDefault="001937E4" w:rsidP="00A326C2">
            <w:pPr>
              <w:jc w:val="center"/>
              <w:rPr>
                <w:b/>
              </w:rPr>
            </w:pPr>
            <w:r>
              <w:rPr>
                <w:b/>
              </w:rPr>
              <w:t xml:space="preserve">% </w:t>
            </w:r>
            <w:r w:rsidR="000523CB" w:rsidRPr="0094616D">
              <w:rPr>
                <w:b/>
              </w:rPr>
              <w:t xml:space="preserve">Weighting </w:t>
            </w:r>
          </w:p>
        </w:tc>
      </w:tr>
      <w:tr w:rsidR="001937E4" w14:paraId="3528A39B" w14:textId="77777777" w:rsidTr="004966E0">
        <w:tc>
          <w:tcPr>
            <w:tcW w:w="7843" w:type="dxa"/>
          </w:tcPr>
          <w:p w14:paraId="01A35331" w14:textId="337D17BA" w:rsidR="00876F23" w:rsidRDefault="00876F23" w:rsidP="0094616D">
            <w:pPr>
              <w:pStyle w:val="ListParagraph"/>
              <w:numPr>
                <w:ilvl w:val="0"/>
                <w:numId w:val="13"/>
              </w:numPr>
              <w:ind w:left="311" w:hanging="295"/>
            </w:pPr>
            <w:r>
              <w:t>The delivery approach proposed by the organisation</w:t>
            </w:r>
            <w:r w:rsidR="00BD4AE8">
              <w:t xml:space="preserve"> and the ability to build strong relationships with schools</w:t>
            </w:r>
            <w:r>
              <w:t xml:space="preserve">. For example: aspiration of </w:t>
            </w:r>
            <w:r w:rsidR="00BD3011">
              <w:t xml:space="preserve">number of </w:t>
            </w:r>
            <w:r>
              <w:t>schools involved, number of learner engagements, and links to follow-on activities, impact measures, embedding careers messages etc.</w:t>
            </w:r>
          </w:p>
        </w:tc>
        <w:tc>
          <w:tcPr>
            <w:tcW w:w="1409" w:type="dxa"/>
          </w:tcPr>
          <w:p w14:paraId="71BB2FE0" w14:textId="490EE822" w:rsidR="00876F23" w:rsidRDefault="005E5852" w:rsidP="008A75F7">
            <w:pPr>
              <w:jc w:val="center"/>
            </w:pPr>
            <w:r>
              <w:t>3</w:t>
            </w:r>
            <w:r w:rsidR="008A75F7">
              <w:t>5</w:t>
            </w:r>
          </w:p>
        </w:tc>
      </w:tr>
      <w:tr w:rsidR="001937E4" w14:paraId="6203B32A" w14:textId="77777777" w:rsidTr="004966E0">
        <w:tc>
          <w:tcPr>
            <w:tcW w:w="7843" w:type="dxa"/>
          </w:tcPr>
          <w:p w14:paraId="731940A8" w14:textId="70E51B1F" w:rsidR="00876F23" w:rsidRDefault="00876F23" w:rsidP="008A75F7">
            <w:pPr>
              <w:pStyle w:val="ListParagraph"/>
              <w:numPr>
                <w:ilvl w:val="0"/>
                <w:numId w:val="13"/>
              </w:numPr>
              <w:ind w:left="311" w:hanging="295"/>
            </w:pPr>
            <w:r>
              <w:t>Relevant background and experience of the organisation</w:t>
            </w:r>
            <w:r w:rsidR="00BD3011">
              <w:t>;</w:t>
            </w:r>
            <w:r w:rsidR="008A75F7">
              <w:t xml:space="preserve"> </w:t>
            </w:r>
            <w:r>
              <w:t>credibility of the proposed activity</w:t>
            </w:r>
            <w:r w:rsidR="00BD3011">
              <w:t>; and</w:t>
            </w:r>
            <w:r w:rsidR="007F7AB9">
              <w:t xml:space="preserve"> experience of working with programmes of this scale, including geographical coverage</w:t>
            </w:r>
          </w:p>
        </w:tc>
        <w:tc>
          <w:tcPr>
            <w:tcW w:w="1409" w:type="dxa"/>
          </w:tcPr>
          <w:p w14:paraId="2AD25495" w14:textId="6BCEFD86" w:rsidR="00876F23" w:rsidRDefault="005E5852" w:rsidP="0094616D">
            <w:pPr>
              <w:jc w:val="center"/>
            </w:pPr>
            <w:r>
              <w:t>20</w:t>
            </w:r>
          </w:p>
        </w:tc>
      </w:tr>
      <w:tr w:rsidR="001937E4" w14:paraId="50FC4273" w14:textId="77777777" w:rsidTr="004966E0">
        <w:trPr>
          <w:trHeight w:val="297"/>
        </w:trPr>
        <w:tc>
          <w:tcPr>
            <w:tcW w:w="7843" w:type="dxa"/>
          </w:tcPr>
          <w:p w14:paraId="6D241D84" w14:textId="796BA86B" w:rsidR="00876F23" w:rsidRDefault="00876F23" w:rsidP="0094616D">
            <w:pPr>
              <w:pStyle w:val="ListParagraph"/>
              <w:numPr>
                <w:ilvl w:val="0"/>
                <w:numId w:val="13"/>
              </w:numPr>
              <w:ind w:left="311" w:hanging="295"/>
            </w:pPr>
            <w:r>
              <w:t>Value for money</w:t>
            </w:r>
          </w:p>
        </w:tc>
        <w:tc>
          <w:tcPr>
            <w:tcW w:w="1409" w:type="dxa"/>
          </w:tcPr>
          <w:p w14:paraId="1D8D4E29" w14:textId="68A4308C" w:rsidR="00876F23" w:rsidRDefault="007F7AB9" w:rsidP="0094616D">
            <w:pPr>
              <w:jc w:val="center"/>
            </w:pPr>
            <w:r>
              <w:t>20</w:t>
            </w:r>
          </w:p>
        </w:tc>
      </w:tr>
      <w:tr w:rsidR="001937E4" w14:paraId="2803DD8E" w14:textId="77777777" w:rsidTr="004966E0">
        <w:trPr>
          <w:trHeight w:val="297"/>
        </w:trPr>
        <w:tc>
          <w:tcPr>
            <w:tcW w:w="7843" w:type="dxa"/>
          </w:tcPr>
          <w:p w14:paraId="31BF8CF0" w14:textId="265499B4" w:rsidR="007F7AB9" w:rsidRDefault="007F7AB9" w:rsidP="007F7AB9">
            <w:pPr>
              <w:pStyle w:val="ListParagraph"/>
              <w:numPr>
                <w:ilvl w:val="0"/>
                <w:numId w:val="13"/>
              </w:numPr>
              <w:ind w:left="311" w:hanging="295"/>
            </w:pPr>
            <w:r>
              <w:t>Associated risks and mitigation responses</w:t>
            </w:r>
          </w:p>
        </w:tc>
        <w:tc>
          <w:tcPr>
            <w:tcW w:w="1409" w:type="dxa"/>
          </w:tcPr>
          <w:p w14:paraId="1C8EA95C" w14:textId="16994338" w:rsidR="007F7AB9" w:rsidRDefault="007F7AB9" w:rsidP="007F7AB9">
            <w:pPr>
              <w:jc w:val="center"/>
            </w:pPr>
            <w:r>
              <w:t>15</w:t>
            </w:r>
          </w:p>
        </w:tc>
      </w:tr>
      <w:tr w:rsidR="001937E4" w14:paraId="0F8551E0" w14:textId="77777777" w:rsidTr="004966E0">
        <w:tc>
          <w:tcPr>
            <w:tcW w:w="7843" w:type="dxa"/>
          </w:tcPr>
          <w:p w14:paraId="788E2185" w14:textId="32290EFA" w:rsidR="005E5852" w:rsidRDefault="00876F23" w:rsidP="0094616D">
            <w:pPr>
              <w:pStyle w:val="ListParagraph"/>
              <w:numPr>
                <w:ilvl w:val="0"/>
                <w:numId w:val="13"/>
              </w:numPr>
              <w:ind w:left="311" w:hanging="295"/>
            </w:pPr>
            <w:r w:rsidRPr="00876F23">
              <w:t>Collaboration with other STEM outreach organisations</w:t>
            </w:r>
          </w:p>
        </w:tc>
        <w:tc>
          <w:tcPr>
            <w:tcW w:w="1409" w:type="dxa"/>
          </w:tcPr>
          <w:p w14:paraId="7FA8F328" w14:textId="755F9C35" w:rsidR="00876F23" w:rsidRDefault="007F7AB9" w:rsidP="0094616D">
            <w:pPr>
              <w:jc w:val="center"/>
            </w:pPr>
            <w:r>
              <w:t>10</w:t>
            </w:r>
          </w:p>
        </w:tc>
      </w:tr>
    </w:tbl>
    <w:p w14:paraId="55C51B81" w14:textId="77777777" w:rsidR="00876F23" w:rsidRDefault="00876F23" w:rsidP="00410A7C">
      <w:pPr>
        <w:spacing w:after="0" w:line="240" w:lineRule="auto"/>
      </w:pPr>
    </w:p>
    <w:p w14:paraId="05BD0B6B" w14:textId="204E5F1D" w:rsidR="00876F23" w:rsidRPr="0094616D" w:rsidRDefault="00BD3011" w:rsidP="00410A7C">
      <w:pPr>
        <w:spacing w:after="0" w:line="240" w:lineRule="auto"/>
        <w:rPr>
          <w:b/>
        </w:rPr>
      </w:pPr>
      <w:r w:rsidRPr="008A75F7">
        <w:rPr>
          <w:b/>
        </w:rPr>
        <w:t>Package</w:t>
      </w:r>
      <w:r>
        <w:t xml:space="preserve"> </w:t>
      </w:r>
      <w:r w:rsidR="00A326C2" w:rsidRPr="0094616D">
        <w:rPr>
          <w:b/>
        </w:rPr>
        <w:t>B</w:t>
      </w:r>
    </w:p>
    <w:p w14:paraId="5CC7B242" w14:textId="77777777" w:rsidR="005E5852" w:rsidRDefault="005E5852" w:rsidP="00410A7C">
      <w:pPr>
        <w:spacing w:after="0" w:line="240" w:lineRule="auto"/>
      </w:pPr>
    </w:p>
    <w:tbl>
      <w:tblPr>
        <w:tblStyle w:val="TableGrid"/>
        <w:tblW w:w="9252" w:type="dxa"/>
        <w:tblLook w:val="04A0" w:firstRow="1" w:lastRow="0" w:firstColumn="1" w:lastColumn="0" w:noHBand="0" w:noVBand="1"/>
      </w:tblPr>
      <w:tblGrid>
        <w:gridCol w:w="7843"/>
        <w:gridCol w:w="1403"/>
        <w:gridCol w:w="6"/>
      </w:tblGrid>
      <w:tr w:rsidR="001937E4" w:rsidRPr="00E94B15" w14:paraId="72817BA4" w14:textId="77777777" w:rsidTr="001937E4">
        <w:trPr>
          <w:gridAfter w:val="1"/>
          <w:wAfter w:w="6" w:type="dxa"/>
        </w:trPr>
        <w:tc>
          <w:tcPr>
            <w:tcW w:w="7843" w:type="dxa"/>
          </w:tcPr>
          <w:p w14:paraId="7ACFB17B" w14:textId="77777777" w:rsidR="000523CB" w:rsidRPr="00E94B15" w:rsidRDefault="000523CB" w:rsidP="000523CB">
            <w:pPr>
              <w:pStyle w:val="ListParagraph"/>
              <w:ind w:left="311"/>
              <w:rPr>
                <w:b/>
              </w:rPr>
            </w:pPr>
            <w:r w:rsidRPr="00E94B15">
              <w:rPr>
                <w:b/>
              </w:rPr>
              <w:t>Criteria</w:t>
            </w:r>
          </w:p>
        </w:tc>
        <w:tc>
          <w:tcPr>
            <w:tcW w:w="1403" w:type="dxa"/>
          </w:tcPr>
          <w:p w14:paraId="0CD8C16F" w14:textId="1604C799" w:rsidR="000523CB" w:rsidRPr="00E94B15" w:rsidRDefault="001937E4" w:rsidP="000523CB">
            <w:pPr>
              <w:jc w:val="center"/>
              <w:rPr>
                <w:b/>
              </w:rPr>
            </w:pPr>
            <w:r>
              <w:rPr>
                <w:b/>
              </w:rPr>
              <w:t xml:space="preserve">% </w:t>
            </w:r>
            <w:r w:rsidR="000523CB" w:rsidRPr="00E94B15">
              <w:rPr>
                <w:b/>
              </w:rPr>
              <w:t xml:space="preserve">Weighting </w:t>
            </w:r>
          </w:p>
        </w:tc>
      </w:tr>
      <w:tr w:rsidR="001937E4" w14:paraId="735A42F9" w14:textId="77777777" w:rsidTr="001937E4">
        <w:trPr>
          <w:trHeight w:val="619"/>
        </w:trPr>
        <w:tc>
          <w:tcPr>
            <w:tcW w:w="7843" w:type="dxa"/>
          </w:tcPr>
          <w:p w14:paraId="50448086" w14:textId="12D4B636" w:rsidR="005E5852" w:rsidRDefault="005E5852" w:rsidP="00BD3011">
            <w:pPr>
              <w:pStyle w:val="ListParagraph"/>
              <w:numPr>
                <w:ilvl w:val="0"/>
                <w:numId w:val="13"/>
              </w:numPr>
              <w:ind w:left="311" w:hanging="295"/>
            </w:pPr>
            <w:r>
              <w:t xml:space="preserve">How well the potential organisation appears to understand the issues involved </w:t>
            </w:r>
            <w:r w:rsidR="007F7AB9">
              <w:t>in working with schools</w:t>
            </w:r>
            <w:r w:rsidR="00BD3011">
              <w:t xml:space="preserve">; </w:t>
            </w:r>
            <w:r>
              <w:t>the activity fits the criteria</w:t>
            </w:r>
            <w:r w:rsidR="007F7AB9">
              <w:t xml:space="preserve"> and is innovative and creative</w:t>
            </w:r>
          </w:p>
        </w:tc>
        <w:tc>
          <w:tcPr>
            <w:tcW w:w="1409" w:type="dxa"/>
            <w:gridSpan w:val="2"/>
          </w:tcPr>
          <w:p w14:paraId="6F037988" w14:textId="0BA70E79" w:rsidR="005E5852" w:rsidRDefault="005E5852" w:rsidP="0094616D">
            <w:pPr>
              <w:jc w:val="center"/>
            </w:pPr>
            <w:r>
              <w:t>50</w:t>
            </w:r>
          </w:p>
        </w:tc>
      </w:tr>
      <w:tr w:rsidR="001937E4" w14:paraId="6B5E0148" w14:textId="77777777" w:rsidTr="001937E4">
        <w:trPr>
          <w:trHeight w:val="563"/>
        </w:trPr>
        <w:tc>
          <w:tcPr>
            <w:tcW w:w="7843" w:type="dxa"/>
          </w:tcPr>
          <w:p w14:paraId="68C8524D" w14:textId="055F0412" w:rsidR="005E5852" w:rsidRDefault="005E5852" w:rsidP="0094616D">
            <w:pPr>
              <w:pStyle w:val="ListParagraph"/>
              <w:numPr>
                <w:ilvl w:val="0"/>
                <w:numId w:val="13"/>
              </w:numPr>
              <w:ind w:left="311" w:hanging="295"/>
            </w:pPr>
            <w:r w:rsidRPr="005E5852">
              <w:lastRenderedPageBreak/>
              <w:t>Relevant background and experience of the organisation and the credibility of the proposed activity</w:t>
            </w:r>
            <w:r w:rsidR="00BD4AE8">
              <w:t>; ability to work collaboratively with other partners</w:t>
            </w:r>
          </w:p>
        </w:tc>
        <w:tc>
          <w:tcPr>
            <w:tcW w:w="1409" w:type="dxa"/>
            <w:gridSpan w:val="2"/>
          </w:tcPr>
          <w:p w14:paraId="680A39F3" w14:textId="22E2FF37" w:rsidR="005E5852" w:rsidRDefault="005E5852" w:rsidP="0094616D">
            <w:pPr>
              <w:jc w:val="center"/>
            </w:pPr>
            <w:r>
              <w:t>20</w:t>
            </w:r>
          </w:p>
        </w:tc>
      </w:tr>
      <w:tr w:rsidR="001937E4" w14:paraId="7CDD8F28" w14:textId="77777777" w:rsidTr="001937E4">
        <w:trPr>
          <w:trHeight w:val="269"/>
        </w:trPr>
        <w:tc>
          <w:tcPr>
            <w:tcW w:w="7843" w:type="dxa"/>
          </w:tcPr>
          <w:p w14:paraId="1064177A" w14:textId="575465D2" w:rsidR="005E5852" w:rsidRDefault="005E5852" w:rsidP="0094616D">
            <w:pPr>
              <w:pStyle w:val="ListParagraph"/>
              <w:numPr>
                <w:ilvl w:val="0"/>
                <w:numId w:val="13"/>
              </w:numPr>
              <w:ind w:left="311" w:hanging="295"/>
            </w:pPr>
            <w:r>
              <w:t>Value for money</w:t>
            </w:r>
          </w:p>
        </w:tc>
        <w:tc>
          <w:tcPr>
            <w:tcW w:w="1409" w:type="dxa"/>
            <w:gridSpan w:val="2"/>
          </w:tcPr>
          <w:p w14:paraId="6AE56195" w14:textId="7965B0DA" w:rsidR="005E5852" w:rsidRDefault="005E5852" w:rsidP="0094616D">
            <w:pPr>
              <w:jc w:val="center"/>
            </w:pPr>
            <w:r>
              <w:t>20</w:t>
            </w:r>
          </w:p>
        </w:tc>
      </w:tr>
      <w:tr w:rsidR="001937E4" w14:paraId="22051809" w14:textId="77777777" w:rsidTr="001937E4">
        <w:tc>
          <w:tcPr>
            <w:tcW w:w="7843" w:type="dxa"/>
          </w:tcPr>
          <w:p w14:paraId="5AC9DF73" w14:textId="23F45BE7" w:rsidR="005E5852" w:rsidRDefault="005E5852" w:rsidP="0094616D">
            <w:pPr>
              <w:pStyle w:val="ListParagraph"/>
              <w:numPr>
                <w:ilvl w:val="0"/>
                <w:numId w:val="13"/>
              </w:numPr>
              <w:ind w:left="311" w:hanging="295"/>
            </w:pPr>
            <w:r w:rsidRPr="005E5852">
              <w:t>Capacity to conduct work to a high standard</w:t>
            </w:r>
          </w:p>
        </w:tc>
        <w:tc>
          <w:tcPr>
            <w:tcW w:w="1409" w:type="dxa"/>
            <w:gridSpan w:val="2"/>
          </w:tcPr>
          <w:p w14:paraId="0D8E2A9A" w14:textId="4D3E8D29" w:rsidR="005E5852" w:rsidRDefault="005E5852" w:rsidP="0094616D">
            <w:pPr>
              <w:jc w:val="center"/>
            </w:pPr>
            <w:r>
              <w:t>10</w:t>
            </w:r>
          </w:p>
        </w:tc>
      </w:tr>
    </w:tbl>
    <w:p w14:paraId="64BD7076" w14:textId="77777777" w:rsidR="003F753B" w:rsidRDefault="003F753B" w:rsidP="003F753B">
      <w:pPr>
        <w:spacing w:after="0" w:line="240" w:lineRule="auto"/>
      </w:pPr>
    </w:p>
    <w:p w14:paraId="204621B6" w14:textId="24F7AC4A" w:rsidR="004E0CB5" w:rsidRDefault="004E0CB5" w:rsidP="00786B5A">
      <w:pPr>
        <w:spacing w:after="0" w:line="240" w:lineRule="auto"/>
      </w:pPr>
      <w:r>
        <w:t>The panel assessing submissions will consist of EUK and Shell.</w:t>
      </w:r>
    </w:p>
    <w:p w14:paraId="3D87FCBD" w14:textId="77777777" w:rsidR="004E0CB5" w:rsidRDefault="004E0CB5" w:rsidP="00786B5A">
      <w:pPr>
        <w:spacing w:after="0" w:line="240" w:lineRule="auto"/>
      </w:pPr>
    </w:p>
    <w:p w14:paraId="4C994D40" w14:textId="52DB7BE1" w:rsidR="004E0CB5" w:rsidRDefault="004E0CB5" w:rsidP="00786B5A">
      <w:pPr>
        <w:spacing w:after="0" w:line="240" w:lineRule="auto"/>
      </w:pPr>
      <w:r>
        <w:t>Successful shortlisted organisations will be invited for interview as per the timeline.</w:t>
      </w:r>
    </w:p>
    <w:p w14:paraId="3FE967B3" w14:textId="77777777" w:rsidR="00CF35A5" w:rsidRDefault="00CF35A5" w:rsidP="00786B5A">
      <w:pPr>
        <w:spacing w:after="0" w:line="240" w:lineRule="auto"/>
      </w:pPr>
    </w:p>
    <w:p w14:paraId="07B31463" w14:textId="793B5210" w:rsidR="002254F2" w:rsidRDefault="002254F2" w:rsidP="00786B5A">
      <w:pPr>
        <w:spacing w:after="0" w:line="240" w:lineRule="auto"/>
      </w:pPr>
      <w:r>
        <w:t>Please indicate</w:t>
      </w:r>
      <w:r w:rsidR="00FD7B4E">
        <w:t xml:space="preserve"> for</w:t>
      </w:r>
      <w:r>
        <w:t xml:space="preserve"> which </w:t>
      </w:r>
      <w:r w:rsidR="00BD3011">
        <w:t>Package</w:t>
      </w:r>
      <w:r w:rsidR="00FD7B4E">
        <w:t xml:space="preserve">(s) </w:t>
      </w:r>
      <w:r>
        <w:t xml:space="preserve">you are </w:t>
      </w:r>
      <w:r w:rsidR="00FD7B4E">
        <w:t>submitting</w:t>
      </w:r>
      <w:r>
        <w:t>:</w:t>
      </w:r>
    </w:p>
    <w:p w14:paraId="7C21D72E" w14:textId="77777777" w:rsidR="002254F2" w:rsidRDefault="002254F2" w:rsidP="00786B5A">
      <w:pPr>
        <w:spacing w:after="0" w:line="240" w:lineRule="auto"/>
      </w:pPr>
    </w:p>
    <w:tbl>
      <w:tblPr>
        <w:tblStyle w:val="TableGrid"/>
        <w:tblW w:w="0" w:type="auto"/>
        <w:tblLook w:val="04A0" w:firstRow="1" w:lastRow="0" w:firstColumn="1" w:lastColumn="0" w:noHBand="0" w:noVBand="1"/>
      </w:tblPr>
      <w:tblGrid>
        <w:gridCol w:w="4508"/>
        <w:gridCol w:w="4508"/>
      </w:tblGrid>
      <w:tr w:rsidR="002254F2" w14:paraId="66037B4C" w14:textId="77777777" w:rsidTr="002254F2">
        <w:tc>
          <w:tcPr>
            <w:tcW w:w="4508" w:type="dxa"/>
          </w:tcPr>
          <w:p w14:paraId="13B78AA2" w14:textId="73C82021" w:rsidR="002254F2" w:rsidRPr="0094616D" w:rsidRDefault="00BD3011" w:rsidP="00786B5A">
            <w:pPr>
              <w:rPr>
                <w:b/>
              </w:rPr>
            </w:pPr>
            <w:r>
              <w:t>Package</w:t>
            </w:r>
          </w:p>
        </w:tc>
        <w:tc>
          <w:tcPr>
            <w:tcW w:w="4508" w:type="dxa"/>
          </w:tcPr>
          <w:p w14:paraId="034E1836" w14:textId="1BF49B8F" w:rsidR="002254F2" w:rsidRPr="0094616D" w:rsidRDefault="002254F2" w:rsidP="00786B5A">
            <w:pPr>
              <w:rPr>
                <w:b/>
              </w:rPr>
            </w:pPr>
            <w:r w:rsidRPr="0094616D">
              <w:rPr>
                <w:b/>
              </w:rPr>
              <w:t>Yes/No</w:t>
            </w:r>
          </w:p>
        </w:tc>
      </w:tr>
      <w:tr w:rsidR="002254F2" w14:paraId="232D7DFA" w14:textId="77777777" w:rsidTr="002254F2">
        <w:tc>
          <w:tcPr>
            <w:tcW w:w="4508" w:type="dxa"/>
          </w:tcPr>
          <w:p w14:paraId="2B72C16E" w14:textId="673FC9CA" w:rsidR="002254F2" w:rsidRDefault="00FD7B4E" w:rsidP="00786B5A">
            <w:r>
              <w:t>A</w:t>
            </w:r>
            <w:r w:rsidR="00F41793">
              <w:t xml:space="preserve"> </w:t>
            </w:r>
            <w:r w:rsidR="002254F2">
              <w:t xml:space="preserve"> – </w:t>
            </w:r>
            <w:r w:rsidR="00F41793">
              <w:t>Delivery</w:t>
            </w:r>
          </w:p>
        </w:tc>
        <w:tc>
          <w:tcPr>
            <w:tcW w:w="4508" w:type="dxa"/>
          </w:tcPr>
          <w:p w14:paraId="6C736D1A" w14:textId="77777777" w:rsidR="002254F2" w:rsidRDefault="002254F2" w:rsidP="00786B5A"/>
        </w:tc>
      </w:tr>
      <w:tr w:rsidR="002254F2" w14:paraId="6BE36E47" w14:textId="77777777" w:rsidTr="002254F2">
        <w:tc>
          <w:tcPr>
            <w:tcW w:w="4508" w:type="dxa"/>
          </w:tcPr>
          <w:p w14:paraId="2E9E0ED8" w14:textId="031DAA7E" w:rsidR="002254F2" w:rsidRDefault="00FD7B4E" w:rsidP="00786B5A">
            <w:r>
              <w:t>B</w:t>
            </w:r>
            <w:r w:rsidR="002254F2">
              <w:t xml:space="preserve"> – </w:t>
            </w:r>
            <w:r>
              <w:t xml:space="preserve"> </w:t>
            </w:r>
            <w:r w:rsidR="002254F2">
              <w:t>Development</w:t>
            </w:r>
          </w:p>
        </w:tc>
        <w:tc>
          <w:tcPr>
            <w:tcW w:w="4508" w:type="dxa"/>
          </w:tcPr>
          <w:p w14:paraId="00AC4519" w14:textId="77777777" w:rsidR="002254F2" w:rsidRDefault="002254F2" w:rsidP="00786B5A"/>
        </w:tc>
      </w:tr>
      <w:tr w:rsidR="002254F2" w14:paraId="3841CA30" w14:textId="77777777" w:rsidTr="002254F2">
        <w:tc>
          <w:tcPr>
            <w:tcW w:w="4508" w:type="dxa"/>
          </w:tcPr>
          <w:p w14:paraId="2C5537E5" w14:textId="4A489C0C" w:rsidR="002254F2" w:rsidRDefault="002254F2" w:rsidP="00786B5A">
            <w:r>
              <w:t>Both</w:t>
            </w:r>
          </w:p>
        </w:tc>
        <w:tc>
          <w:tcPr>
            <w:tcW w:w="4508" w:type="dxa"/>
          </w:tcPr>
          <w:p w14:paraId="5C4E05CF" w14:textId="77777777" w:rsidR="002254F2" w:rsidRDefault="002254F2" w:rsidP="00786B5A"/>
        </w:tc>
      </w:tr>
    </w:tbl>
    <w:p w14:paraId="00A4F7C3" w14:textId="77777777" w:rsidR="004E0CB5" w:rsidRPr="004E0CB5" w:rsidRDefault="004E0CB5" w:rsidP="00786B5A">
      <w:pPr>
        <w:spacing w:after="0" w:line="240" w:lineRule="auto"/>
        <w:rPr>
          <w:rFonts w:ascii="Arial" w:hAnsi="Arial" w:cs="Arial"/>
        </w:rPr>
      </w:pPr>
    </w:p>
    <w:p w14:paraId="53C1B374" w14:textId="5F85769E" w:rsidR="004E0CB5" w:rsidRPr="002254F2" w:rsidRDefault="002254F2" w:rsidP="00786B5A">
      <w:pPr>
        <w:spacing w:after="0" w:line="240" w:lineRule="auto"/>
        <w:rPr>
          <w:rFonts w:cs="Arial"/>
        </w:rPr>
      </w:pPr>
      <w:r>
        <w:rPr>
          <w:rFonts w:cs="Arial"/>
        </w:rPr>
        <w:t xml:space="preserve">For </w:t>
      </w:r>
      <w:r w:rsidR="00BD3011">
        <w:t>Package</w:t>
      </w:r>
      <w:r w:rsidR="00BD3011" w:rsidDel="00BD3011">
        <w:rPr>
          <w:rFonts w:cs="Arial"/>
        </w:rPr>
        <w:t xml:space="preserve"> </w:t>
      </w:r>
      <w:r w:rsidR="00F41793">
        <w:rPr>
          <w:rFonts w:cs="Arial"/>
        </w:rPr>
        <w:t>A</w:t>
      </w:r>
      <w:r w:rsidR="0094616D">
        <w:rPr>
          <w:rFonts w:cs="Arial"/>
        </w:rPr>
        <w:t xml:space="preserve"> </w:t>
      </w:r>
      <w:r>
        <w:rPr>
          <w:rFonts w:cs="Arial"/>
        </w:rPr>
        <w:t xml:space="preserve">– </w:t>
      </w:r>
      <w:r w:rsidR="00F41793">
        <w:rPr>
          <w:rFonts w:cs="Arial"/>
        </w:rPr>
        <w:t>D</w:t>
      </w:r>
      <w:r>
        <w:rPr>
          <w:rFonts w:cs="Arial"/>
        </w:rPr>
        <w:t>elivery, please indicate wh</w:t>
      </w:r>
      <w:r w:rsidR="004E0CB5" w:rsidRPr="002254F2">
        <w:rPr>
          <w:rFonts w:cs="Arial"/>
        </w:rPr>
        <w:t>ich areas are you interested in:</w:t>
      </w:r>
    </w:p>
    <w:tbl>
      <w:tblPr>
        <w:tblStyle w:val="TableGrid1"/>
        <w:tblW w:w="0" w:type="auto"/>
        <w:tblLook w:val="04A0" w:firstRow="1" w:lastRow="0" w:firstColumn="1" w:lastColumn="0" w:noHBand="0" w:noVBand="1"/>
      </w:tblPr>
      <w:tblGrid>
        <w:gridCol w:w="4508"/>
        <w:gridCol w:w="4508"/>
      </w:tblGrid>
      <w:tr w:rsidR="004E0CB5" w:rsidRPr="002254F2" w14:paraId="0F72553F" w14:textId="77777777" w:rsidTr="000523CB">
        <w:tc>
          <w:tcPr>
            <w:tcW w:w="4508" w:type="dxa"/>
          </w:tcPr>
          <w:p w14:paraId="490E4B26" w14:textId="77777777" w:rsidR="004E0CB5" w:rsidRPr="0094616D" w:rsidRDefault="004E0CB5" w:rsidP="00786B5A">
            <w:pPr>
              <w:rPr>
                <w:rFonts w:cs="Arial"/>
                <w:b/>
              </w:rPr>
            </w:pPr>
            <w:r w:rsidRPr="0094616D">
              <w:rPr>
                <w:rFonts w:cs="Arial"/>
                <w:b/>
              </w:rPr>
              <w:t>Region</w:t>
            </w:r>
          </w:p>
        </w:tc>
        <w:tc>
          <w:tcPr>
            <w:tcW w:w="4508" w:type="dxa"/>
          </w:tcPr>
          <w:p w14:paraId="4465C639" w14:textId="77777777" w:rsidR="004E0CB5" w:rsidRPr="0094616D" w:rsidRDefault="004E0CB5" w:rsidP="00786B5A">
            <w:pPr>
              <w:rPr>
                <w:rFonts w:cs="Arial"/>
                <w:b/>
              </w:rPr>
            </w:pPr>
            <w:r w:rsidRPr="0094616D">
              <w:rPr>
                <w:rFonts w:cs="Arial"/>
                <w:b/>
              </w:rPr>
              <w:t>Yes/No</w:t>
            </w:r>
          </w:p>
        </w:tc>
      </w:tr>
      <w:tr w:rsidR="002254F2" w:rsidRPr="002254F2" w14:paraId="04057FA3" w14:textId="77777777" w:rsidTr="000523CB">
        <w:tc>
          <w:tcPr>
            <w:tcW w:w="4508" w:type="dxa"/>
          </w:tcPr>
          <w:p w14:paraId="303D11E0" w14:textId="0BA7C0C4" w:rsidR="002254F2" w:rsidRPr="002254F2" w:rsidRDefault="002254F2" w:rsidP="00786B5A">
            <w:pPr>
              <w:rPr>
                <w:rFonts w:cs="Arial"/>
              </w:rPr>
            </w:pPr>
            <w:r>
              <w:rPr>
                <w:rFonts w:cs="Arial"/>
              </w:rPr>
              <w:t>East of England</w:t>
            </w:r>
          </w:p>
        </w:tc>
        <w:tc>
          <w:tcPr>
            <w:tcW w:w="4508" w:type="dxa"/>
          </w:tcPr>
          <w:p w14:paraId="31E39CDC" w14:textId="2D89D6CA" w:rsidR="002254F2" w:rsidRPr="002254F2" w:rsidRDefault="002254F2" w:rsidP="00786B5A">
            <w:pPr>
              <w:rPr>
                <w:rFonts w:cs="Arial"/>
              </w:rPr>
            </w:pPr>
          </w:p>
        </w:tc>
      </w:tr>
      <w:tr w:rsidR="002254F2" w:rsidRPr="002254F2" w14:paraId="52B5DD7A" w14:textId="77777777" w:rsidTr="000523CB">
        <w:tc>
          <w:tcPr>
            <w:tcW w:w="4508" w:type="dxa"/>
          </w:tcPr>
          <w:p w14:paraId="61FE5047" w14:textId="3D9AD633" w:rsidR="002254F2" w:rsidRPr="002254F2" w:rsidRDefault="002254F2" w:rsidP="00786B5A">
            <w:pPr>
              <w:rPr>
                <w:rFonts w:cs="Arial"/>
              </w:rPr>
            </w:pPr>
            <w:r>
              <w:rPr>
                <w:rFonts w:cs="Arial"/>
              </w:rPr>
              <w:t>East Midlands</w:t>
            </w:r>
          </w:p>
        </w:tc>
        <w:tc>
          <w:tcPr>
            <w:tcW w:w="4508" w:type="dxa"/>
          </w:tcPr>
          <w:p w14:paraId="745A993E" w14:textId="1C01E188" w:rsidR="002254F2" w:rsidRPr="002254F2" w:rsidRDefault="002254F2" w:rsidP="00786B5A">
            <w:pPr>
              <w:rPr>
                <w:rFonts w:cs="Arial"/>
              </w:rPr>
            </w:pPr>
          </w:p>
        </w:tc>
      </w:tr>
      <w:tr w:rsidR="002254F2" w:rsidRPr="002254F2" w14:paraId="3426EE0B" w14:textId="77777777" w:rsidTr="000523CB">
        <w:tc>
          <w:tcPr>
            <w:tcW w:w="4508" w:type="dxa"/>
          </w:tcPr>
          <w:p w14:paraId="25FE7833" w14:textId="781848CD" w:rsidR="002254F2" w:rsidRPr="002254F2" w:rsidRDefault="002254F2" w:rsidP="00786B5A">
            <w:pPr>
              <w:rPr>
                <w:rFonts w:cs="Arial"/>
              </w:rPr>
            </w:pPr>
            <w:r>
              <w:rPr>
                <w:rFonts w:cs="Arial"/>
              </w:rPr>
              <w:t>London</w:t>
            </w:r>
          </w:p>
        </w:tc>
        <w:tc>
          <w:tcPr>
            <w:tcW w:w="4508" w:type="dxa"/>
          </w:tcPr>
          <w:p w14:paraId="2E55FF11" w14:textId="0F35EDF2" w:rsidR="002254F2" w:rsidRPr="002254F2" w:rsidRDefault="002254F2" w:rsidP="00786B5A">
            <w:pPr>
              <w:rPr>
                <w:rFonts w:cs="Arial"/>
              </w:rPr>
            </w:pPr>
          </w:p>
        </w:tc>
      </w:tr>
      <w:tr w:rsidR="002254F2" w:rsidRPr="002254F2" w14:paraId="54F6BFAE" w14:textId="77777777" w:rsidTr="000523CB">
        <w:tc>
          <w:tcPr>
            <w:tcW w:w="4508" w:type="dxa"/>
          </w:tcPr>
          <w:p w14:paraId="5486DEAE" w14:textId="67380287" w:rsidR="002254F2" w:rsidRPr="002254F2" w:rsidRDefault="002254F2" w:rsidP="00786B5A">
            <w:pPr>
              <w:rPr>
                <w:rFonts w:cs="Arial"/>
              </w:rPr>
            </w:pPr>
            <w:r>
              <w:rPr>
                <w:rFonts w:cs="Arial"/>
              </w:rPr>
              <w:t>North East</w:t>
            </w:r>
          </w:p>
        </w:tc>
        <w:tc>
          <w:tcPr>
            <w:tcW w:w="4508" w:type="dxa"/>
          </w:tcPr>
          <w:p w14:paraId="5519AC60" w14:textId="22F61C58" w:rsidR="002254F2" w:rsidRPr="002254F2" w:rsidRDefault="002254F2" w:rsidP="00786B5A">
            <w:pPr>
              <w:rPr>
                <w:rFonts w:cs="Arial"/>
              </w:rPr>
            </w:pPr>
          </w:p>
        </w:tc>
      </w:tr>
      <w:tr w:rsidR="002254F2" w:rsidRPr="002254F2" w14:paraId="44DBF208" w14:textId="77777777" w:rsidTr="000523CB">
        <w:tc>
          <w:tcPr>
            <w:tcW w:w="4508" w:type="dxa"/>
          </w:tcPr>
          <w:p w14:paraId="19246A21" w14:textId="6AC5DB18" w:rsidR="002254F2" w:rsidRPr="002254F2" w:rsidRDefault="002254F2" w:rsidP="00786B5A">
            <w:pPr>
              <w:rPr>
                <w:rFonts w:cs="Arial"/>
              </w:rPr>
            </w:pPr>
            <w:r>
              <w:rPr>
                <w:rFonts w:cs="Arial"/>
              </w:rPr>
              <w:t>North West</w:t>
            </w:r>
          </w:p>
        </w:tc>
        <w:tc>
          <w:tcPr>
            <w:tcW w:w="4508" w:type="dxa"/>
          </w:tcPr>
          <w:p w14:paraId="25082764" w14:textId="56AA195F" w:rsidR="002254F2" w:rsidRPr="002254F2" w:rsidRDefault="002254F2" w:rsidP="00786B5A">
            <w:pPr>
              <w:rPr>
                <w:rFonts w:cs="Arial"/>
              </w:rPr>
            </w:pPr>
          </w:p>
        </w:tc>
      </w:tr>
      <w:tr w:rsidR="002254F2" w:rsidRPr="002254F2" w14:paraId="6F9C907B" w14:textId="77777777" w:rsidTr="000523CB">
        <w:tc>
          <w:tcPr>
            <w:tcW w:w="4508" w:type="dxa"/>
          </w:tcPr>
          <w:p w14:paraId="44E0FA6B" w14:textId="437310B2" w:rsidR="002254F2" w:rsidRPr="002254F2" w:rsidRDefault="002254F2" w:rsidP="00786B5A">
            <w:pPr>
              <w:rPr>
                <w:rFonts w:cs="Arial"/>
              </w:rPr>
            </w:pPr>
            <w:r>
              <w:rPr>
                <w:rFonts w:cs="Arial"/>
              </w:rPr>
              <w:t>Scotland</w:t>
            </w:r>
          </w:p>
        </w:tc>
        <w:tc>
          <w:tcPr>
            <w:tcW w:w="4508" w:type="dxa"/>
          </w:tcPr>
          <w:p w14:paraId="05F3A8BA" w14:textId="569C38F3" w:rsidR="002254F2" w:rsidRPr="002254F2" w:rsidRDefault="002254F2" w:rsidP="00786B5A">
            <w:pPr>
              <w:rPr>
                <w:rFonts w:cs="Arial"/>
              </w:rPr>
            </w:pPr>
          </w:p>
        </w:tc>
      </w:tr>
      <w:tr w:rsidR="002254F2" w:rsidRPr="002254F2" w14:paraId="673C561D" w14:textId="77777777" w:rsidTr="000523CB">
        <w:tc>
          <w:tcPr>
            <w:tcW w:w="4508" w:type="dxa"/>
          </w:tcPr>
          <w:p w14:paraId="645F9F44" w14:textId="30544293" w:rsidR="002254F2" w:rsidRPr="002254F2" w:rsidRDefault="002254F2" w:rsidP="00786B5A">
            <w:pPr>
              <w:rPr>
                <w:rFonts w:cs="Arial"/>
              </w:rPr>
            </w:pPr>
            <w:r>
              <w:rPr>
                <w:rFonts w:cs="Arial"/>
              </w:rPr>
              <w:t>South East</w:t>
            </w:r>
          </w:p>
        </w:tc>
        <w:tc>
          <w:tcPr>
            <w:tcW w:w="4508" w:type="dxa"/>
          </w:tcPr>
          <w:p w14:paraId="436DD2CA" w14:textId="2833C2C0" w:rsidR="002254F2" w:rsidRPr="002254F2" w:rsidRDefault="002254F2" w:rsidP="00786B5A">
            <w:pPr>
              <w:rPr>
                <w:rFonts w:cs="Arial"/>
              </w:rPr>
            </w:pPr>
          </w:p>
        </w:tc>
      </w:tr>
      <w:tr w:rsidR="002254F2" w:rsidRPr="002254F2" w14:paraId="2986EE02" w14:textId="77777777" w:rsidTr="000523CB">
        <w:tc>
          <w:tcPr>
            <w:tcW w:w="4508" w:type="dxa"/>
          </w:tcPr>
          <w:p w14:paraId="10C0825C" w14:textId="2B8AC6F0" w:rsidR="002254F2" w:rsidRPr="002254F2" w:rsidRDefault="002254F2" w:rsidP="00786B5A">
            <w:pPr>
              <w:rPr>
                <w:rFonts w:cs="Arial"/>
              </w:rPr>
            </w:pPr>
            <w:r>
              <w:rPr>
                <w:rFonts w:cs="Arial"/>
              </w:rPr>
              <w:t>South West</w:t>
            </w:r>
          </w:p>
        </w:tc>
        <w:tc>
          <w:tcPr>
            <w:tcW w:w="4508" w:type="dxa"/>
          </w:tcPr>
          <w:p w14:paraId="4455C582" w14:textId="64C30A87" w:rsidR="002254F2" w:rsidRPr="002254F2" w:rsidRDefault="002254F2" w:rsidP="00786B5A">
            <w:pPr>
              <w:rPr>
                <w:rFonts w:cs="Arial"/>
              </w:rPr>
            </w:pPr>
          </w:p>
        </w:tc>
      </w:tr>
      <w:tr w:rsidR="002254F2" w:rsidRPr="002254F2" w14:paraId="5329376D" w14:textId="77777777" w:rsidTr="000523CB">
        <w:tc>
          <w:tcPr>
            <w:tcW w:w="4508" w:type="dxa"/>
          </w:tcPr>
          <w:p w14:paraId="38659E24" w14:textId="05FEAE3F" w:rsidR="002254F2" w:rsidRPr="002254F2" w:rsidRDefault="002254F2" w:rsidP="00786B5A">
            <w:pPr>
              <w:rPr>
                <w:rFonts w:cs="Arial"/>
              </w:rPr>
            </w:pPr>
            <w:r>
              <w:rPr>
                <w:rFonts w:cs="Arial"/>
              </w:rPr>
              <w:t>West Midlands</w:t>
            </w:r>
          </w:p>
        </w:tc>
        <w:tc>
          <w:tcPr>
            <w:tcW w:w="4508" w:type="dxa"/>
          </w:tcPr>
          <w:p w14:paraId="2D7095A2" w14:textId="2977C186" w:rsidR="002254F2" w:rsidRPr="002254F2" w:rsidRDefault="002254F2" w:rsidP="00786B5A">
            <w:pPr>
              <w:rPr>
                <w:rFonts w:cs="Arial"/>
              </w:rPr>
            </w:pPr>
          </w:p>
        </w:tc>
      </w:tr>
      <w:tr w:rsidR="002254F2" w:rsidRPr="002254F2" w14:paraId="5E59E047" w14:textId="77777777" w:rsidTr="000523CB">
        <w:tc>
          <w:tcPr>
            <w:tcW w:w="4508" w:type="dxa"/>
          </w:tcPr>
          <w:p w14:paraId="6F4026B0" w14:textId="166F5E30" w:rsidR="002254F2" w:rsidRPr="002254F2" w:rsidRDefault="002254F2" w:rsidP="00786B5A">
            <w:pPr>
              <w:rPr>
                <w:rFonts w:cs="Arial"/>
              </w:rPr>
            </w:pPr>
            <w:r>
              <w:rPr>
                <w:rFonts w:cs="Arial"/>
              </w:rPr>
              <w:t>Wales</w:t>
            </w:r>
          </w:p>
        </w:tc>
        <w:tc>
          <w:tcPr>
            <w:tcW w:w="4508" w:type="dxa"/>
          </w:tcPr>
          <w:p w14:paraId="0B1922D4" w14:textId="7247FB68" w:rsidR="002254F2" w:rsidRPr="002254F2" w:rsidRDefault="002254F2" w:rsidP="00786B5A">
            <w:pPr>
              <w:rPr>
                <w:rFonts w:cs="Arial"/>
              </w:rPr>
            </w:pPr>
          </w:p>
        </w:tc>
      </w:tr>
      <w:tr w:rsidR="002254F2" w:rsidRPr="002254F2" w14:paraId="17FF131F" w14:textId="77777777" w:rsidTr="000523CB">
        <w:tc>
          <w:tcPr>
            <w:tcW w:w="4508" w:type="dxa"/>
          </w:tcPr>
          <w:p w14:paraId="6DB4A575" w14:textId="497D0CDC" w:rsidR="002254F2" w:rsidRPr="002254F2" w:rsidRDefault="002254F2" w:rsidP="00786B5A">
            <w:pPr>
              <w:rPr>
                <w:rFonts w:cs="Arial"/>
              </w:rPr>
            </w:pPr>
            <w:r>
              <w:rPr>
                <w:rFonts w:cs="Arial"/>
              </w:rPr>
              <w:t>Yorkshire &amp; Humber</w:t>
            </w:r>
          </w:p>
        </w:tc>
        <w:tc>
          <w:tcPr>
            <w:tcW w:w="4508" w:type="dxa"/>
          </w:tcPr>
          <w:p w14:paraId="463C7270" w14:textId="4E84BACB" w:rsidR="002254F2" w:rsidRPr="002254F2" w:rsidRDefault="002254F2" w:rsidP="00786B5A">
            <w:pPr>
              <w:rPr>
                <w:rFonts w:cs="Arial"/>
              </w:rPr>
            </w:pPr>
          </w:p>
        </w:tc>
      </w:tr>
    </w:tbl>
    <w:p w14:paraId="6A374423" w14:textId="77777777" w:rsidR="004E0CB5" w:rsidRDefault="004E0CB5" w:rsidP="00786B5A">
      <w:pPr>
        <w:spacing w:after="0" w:line="240" w:lineRule="auto"/>
        <w:rPr>
          <w:b/>
        </w:rPr>
      </w:pPr>
    </w:p>
    <w:p w14:paraId="68F2C461" w14:textId="77777777" w:rsidR="00786B5A" w:rsidRPr="00092887" w:rsidRDefault="00786B5A" w:rsidP="00786B5A">
      <w:pPr>
        <w:spacing w:after="0" w:line="240" w:lineRule="auto"/>
        <w:rPr>
          <w:b/>
        </w:rPr>
      </w:pPr>
    </w:p>
    <w:p w14:paraId="1C7B0CCD" w14:textId="77777777" w:rsidR="00786B5A" w:rsidRPr="00220F40" w:rsidRDefault="00786B5A" w:rsidP="00786B5A">
      <w:pPr>
        <w:spacing w:after="0" w:line="240" w:lineRule="auto"/>
        <w:rPr>
          <w:b/>
        </w:rPr>
      </w:pPr>
      <w:r w:rsidRPr="00220F40">
        <w:rPr>
          <w:b/>
        </w:rPr>
        <w:t>Financial information</w:t>
      </w:r>
    </w:p>
    <w:p w14:paraId="37A6C46D" w14:textId="77777777" w:rsidR="00786B5A" w:rsidRDefault="00786B5A" w:rsidP="00786B5A">
      <w:pPr>
        <w:spacing w:after="0" w:line="240" w:lineRule="auto"/>
      </w:pPr>
    </w:p>
    <w:p w14:paraId="13CA6D08" w14:textId="77777777" w:rsidR="00786B5A" w:rsidRDefault="00786B5A" w:rsidP="00786B5A">
      <w:pPr>
        <w:spacing w:after="0" w:line="240" w:lineRule="auto"/>
      </w:pPr>
      <w:r>
        <w:t>Please provide summary information about your organisation. You will be asked for more detailed information if you are invited to interview.</w:t>
      </w:r>
    </w:p>
    <w:p w14:paraId="57C580CE" w14:textId="77777777" w:rsidR="00786B5A" w:rsidRDefault="00786B5A" w:rsidP="00786B5A">
      <w:pPr>
        <w:spacing w:after="0" w:line="240" w:lineRule="auto"/>
      </w:pPr>
    </w:p>
    <w:tbl>
      <w:tblPr>
        <w:tblStyle w:val="TableGrid"/>
        <w:tblW w:w="0" w:type="auto"/>
        <w:tblLook w:val="04A0" w:firstRow="1" w:lastRow="0" w:firstColumn="1" w:lastColumn="0" w:noHBand="0" w:noVBand="1"/>
      </w:tblPr>
      <w:tblGrid>
        <w:gridCol w:w="1803"/>
        <w:gridCol w:w="1803"/>
        <w:gridCol w:w="1803"/>
        <w:gridCol w:w="1803"/>
        <w:gridCol w:w="1804"/>
      </w:tblGrid>
      <w:tr w:rsidR="00786B5A" w14:paraId="749CB3FB" w14:textId="77777777" w:rsidTr="00A2567F">
        <w:tc>
          <w:tcPr>
            <w:tcW w:w="1803" w:type="dxa"/>
          </w:tcPr>
          <w:p w14:paraId="4EEB41D1" w14:textId="77777777" w:rsidR="00786B5A" w:rsidRDefault="00786B5A" w:rsidP="00A2567F"/>
        </w:tc>
        <w:tc>
          <w:tcPr>
            <w:tcW w:w="1803" w:type="dxa"/>
          </w:tcPr>
          <w:p w14:paraId="3248C6BE" w14:textId="77777777" w:rsidR="00786B5A" w:rsidRDefault="00786B5A" w:rsidP="00A2567F">
            <w:pPr>
              <w:rPr>
                <w:b/>
              </w:rPr>
            </w:pPr>
            <w:r w:rsidRPr="00220F40">
              <w:rPr>
                <w:b/>
              </w:rPr>
              <w:t>Forecast for next financial year</w:t>
            </w:r>
          </w:p>
          <w:p w14:paraId="2CFD3C5E" w14:textId="77777777" w:rsidR="00786B5A" w:rsidRPr="00220F40" w:rsidRDefault="00786B5A" w:rsidP="00A2567F">
            <w:r w:rsidRPr="00220F40">
              <w:t>(if available)</w:t>
            </w:r>
          </w:p>
        </w:tc>
        <w:tc>
          <w:tcPr>
            <w:tcW w:w="1803" w:type="dxa"/>
          </w:tcPr>
          <w:p w14:paraId="0A01B7B8" w14:textId="77777777" w:rsidR="00786B5A" w:rsidRPr="00220F40" w:rsidRDefault="00786B5A" w:rsidP="00A2567F">
            <w:pPr>
              <w:rPr>
                <w:b/>
              </w:rPr>
            </w:pPr>
            <w:r w:rsidRPr="00220F40">
              <w:rPr>
                <w:b/>
              </w:rPr>
              <w:t>Forecast for current financial year</w:t>
            </w:r>
          </w:p>
        </w:tc>
        <w:tc>
          <w:tcPr>
            <w:tcW w:w="1803" w:type="dxa"/>
          </w:tcPr>
          <w:p w14:paraId="7EF1D1F3" w14:textId="77777777" w:rsidR="00786B5A" w:rsidRPr="00220F40" w:rsidRDefault="00786B5A" w:rsidP="00A2567F">
            <w:pPr>
              <w:rPr>
                <w:b/>
              </w:rPr>
            </w:pPr>
            <w:r w:rsidRPr="00220F40">
              <w:rPr>
                <w:b/>
              </w:rPr>
              <w:t>Last financial year</w:t>
            </w:r>
          </w:p>
        </w:tc>
        <w:tc>
          <w:tcPr>
            <w:tcW w:w="1804" w:type="dxa"/>
          </w:tcPr>
          <w:p w14:paraId="1E105BC1" w14:textId="77777777" w:rsidR="00786B5A" w:rsidRPr="00220F40" w:rsidRDefault="00786B5A" w:rsidP="00A2567F">
            <w:pPr>
              <w:rPr>
                <w:b/>
              </w:rPr>
            </w:pPr>
            <w:r w:rsidRPr="00220F40">
              <w:rPr>
                <w:b/>
              </w:rPr>
              <w:t>Two years ago</w:t>
            </w:r>
          </w:p>
        </w:tc>
      </w:tr>
      <w:tr w:rsidR="00786B5A" w14:paraId="46F96B58" w14:textId="77777777" w:rsidTr="00A2567F">
        <w:tc>
          <w:tcPr>
            <w:tcW w:w="1803" w:type="dxa"/>
          </w:tcPr>
          <w:p w14:paraId="3AB19F37" w14:textId="77777777" w:rsidR="00786B5A" w:rsidRPr="00220F40" w:rsidRDefault="00786B5A" w:rsidP="00A2567F">
            <w:pPr>
              <w:rPr>
                <w:b/>
              </w:rPr>
            </w:pPr>
            <w:r w:rsidRPr="00220F40">
              <w:rPr>
                <w:b/>
              </w:rPr>
              <w:t>Total income</w:t>
            </w:r>
          </w:p>
          <w:p w14:paraId="4B35E4B6" w14:textId="77777777" w:rsidR="00786B5A" w:rsidRPr="00220F40" w:rsidRDefault="00786B5A" w:rsidP="00A2567F">
            <w:pPr>
              <w:rPr>
                <w:b/>
              </w:rPr>
            </w:pPr>
          </w:p>
          <w:p w14:paraId="6D93EAE3" w14:textId="77777777" w:rsidR="00786B5A" w:rsidRPr="00220F40" w:rsidRDefault="00786B5A" w:rsidP="00A2567F">
            <w:pPr>
              <w:rPr>
                <w:b/>
              </w:rPr>
            </w:pPr>
          </w:p>
        </w:tc>
        <w:tc>
          <w:tcPr>
            <w:tcW w:w="1803" w:type="dxa"/>
          </w:tcPr>
          <w:p w14:paraId="5EA6FF53" w14:textId="77777777" w:rsidR="00786B5A" w:rsidRDefault="00786B5A" w:rsidP="00A2567F"/>
        </w:tc>
        <w:tc>
          <w:tcPr>
            <w:tcW w:w="1803" w:type="dxa"/>
          </w:tcPr>
          <w:p w14:paraId="479DEC8B" w14:textId="77777777" w:rsidR="00786B5A" w:rsidRDefault="00786B5A" w:rsidP="00A2567F"/>
        </w:tc>
        <w:tc>
          <w:tcPr>
            <w:tcW w:w="1803" w:type="dxa"/>
          </w:tcPr>
          <w:p w14:paraId="10885EB9" w14:textId="77777777" w:rsidR="00786B5A" w:rsidRDefault="00786B5A" w:rsidP="00A2567F"/>
        </w:tc>
        <w:tc>
          <w:tcPr>
            <w:tcW w:w="1804" w:type="dxa"/>
          </w:tcPr>
          <w:p w14:paraId="5AA6AAF5" w14:textId="77777777" w:rsidR="00786B5A" w:rsidRDefault="00786B5A" w:rsidP="00A2567F"/>
        </w:tc>
      </w:tr>
      <w:tr w:rsidR="00786B5A" w14:paraId="01FA82FC" w14:textId="77777777" w:rsidTr="00A2567F">
        <w:tc>
          <w:tcPr>
            <w:tcW w:w="1803" w:type="dxa"/>
          </w:tcPr>
          <w:p w14:paraId="6997EFD9" w14:textId="77777777" w:rsidR="00786B5A" w:rsidRPr="00220F40" w:rsidRDefault="00786B5A" w:rsidP="00A2567F">
            <w:pPr>
              <w:rPr>
                <w:b/>
              </w:rPr>
            </w:pPr>
            <w:r w:rsidRPr="00220F40">
              <w:rPr>
                <w:b/>
              </w:rPr>
              <w:t>Total expenditure</w:t>
            </w:r>
          </w:p>
          <w:p w14:paraId="04D952B8" w14:textId="77777777" w:rsidR="00786B5A" w:rsidRPr="00220F40" w:rsidRDefault="00786B5A" w:rsidP="00A2567F">
            <w:pPr>
              <w:rPr>
                <w:b/>
              </w:rPr>
            </w:pPr>
          </w:p>
        </w:tc>
        <w:tc>
          <w:tcPr>
            <w:tcW w:w="1803" w:type="dxa"/>
          </w:tcPr>
          <w:p w14:paraId="20470C20" w14:textId="77777777" w:rsidR="00786B5A" w:rsidRDefault="00786B5A" w:rsidP="00A2567F"/>
        </w:tc>
        <w:tc>
          <w:tcPr>
            <w:tcW w:w="1803" w:type="dxa"/>
          </w:tcPr>
          <w:p w14:paraId="60A8F2B4" w14:textId="77777777" w:rsidR="00786B5A" w:rsidRDefault="00786B5A" w:rsidP="00A2567F"/>
        </w:tc>
        <w:tc>
          <w:tcPr>
            <w:tcW w:w="1803" w:type="dxa"/>
          </w:tcPr>
          <w:p w14:paraId="4C73BD61" w14:textId="77777777" w:rsidR="00786B5A" w:rsidRDefault="00786B5A" w:rsidP="00A2567F"/>
        </w:tc>
        <w:tc>
          <w:tcPr>
            <w:tcW w:w="1804" w:type="dxa"/>
          </w:tcPr>
          <w:p w14:paraId="0F3511DA" w14:textId="77777777" w:rsidR="00786B5A" w:rsidRDefault="00786B5A" w:rsidP="00A2567F"/>
        </w:tc>
      </w:tr>
      <w:tr w:rsidR="00786B5A" w14:paraId="40A3956C" w14:textId="77777777" w:rsidTr="00A2567F">
        <w:tc>
          <w:tcPr>
            <w:tcW w:w="1803" w:type="dxa"/>
          </w:tcPr>
          <w:p w14:paraId="027FA629" w14:textId="77777777" w:rsidR="00786B5A" w:rsidRPr="00220F40" w:rsidRDefault="00786B5A" w:rsidP="00A2567F">
            <w:pPr>
              <w:rPr>
                <w:b/>
              </w:rPr>
            </w:pPr>
            <w:r w:rsidRPr="00220F40">
              <w:rPr>
                <w:b/>
              </w:rPr>
              <w:t xml:space="preserve">Cash balance </w:t>
            </w:r>
            <w:r w:rsidRPr="00220F40">
              <w:t>(at year end)</w:t>
            </w:r>
          </w:p>
          <w:p w14:paraId="7616379A" w14:textId="77777777" w:rsidR="00786B5A" w:rsidRPr="00220F40" w:rsidRDefault="00786B5A" w:rsidP="00A2567F">
            <w:pPr>
              <w:rPr>
                <w:b/>
              </w:rPr>
            </w:pPr>
          </w:p>
        </w:tc>
        <w:tc>
          <w:tcPr>
            <w:tcW w:w="1803" w:type="dxa"/>
          </w:tcPr>
          <w:p w14:paraId="4D601570" w14:textId="77777777" w:rsidR="00786B5A" w:rsidRDefault="00786B5A" w:rsidP="00A2567F"/>
        </w:tc>
        <w:tc>
          <w:tcPr>
            <w:tcW w:w="1803" w:type="dxa"/>
          </w:tcPr>
          <w:p w14:paraId="7A233DAE" w14:textId="77777777" w:rsidR="00786B5A" w:rsidRDefault="00786B5A" w:rsidP="00A2567F"/>
        </w:tc>
        <w:tc>
          <w:tcPr>
            <w:tcW w:w="1803" w:type="dxa"/>
          </w:tcPr>
          <w:p w14:paraId="35022DCE" w14:textId="77777777" w:rsidR="00786B5A" w:rsidRDefault="00786B5A" w:rsidP="00A2567F"/>
        </w:tc>
        <w:tc>
          <w:tcPr>
            <w:tcW w:w="1804" w:type="dxa"/>
          </w:tcPr>
          <w:p w14:paraId="2FA3F966" w14:textId="77777777" w:rsidR="00786B5A" w:rsidRDefault="00786B5A" w:rsidP="00A2567F"/>
        </w:tc>
      </w:tr>
    </w:tbl>
    <w:p w14:paraId="5EA82221" w14:textId="77777777" w:rsidR="00786B5A" w:rsidRDefault="00786B5A" w:rsidP="00786B5A">
      <w:pPr>
        <w:spacing w:after="0" w:line="240" w:lineRule="auto"/>
      </w:pPr>
    </w:p>
    <w:p w14:paraId="73323A48" w14:textId="50E0CC1E" w:rsidR="00786B5A" w:rsidRDefault="00786B5A" w:rsidP="00786B5A">
      <w:pPr>
        <w:spacing w:after="0" w:line="240" w:lineRule="auto"/>
      </w:pPr>
      <w:r>
        <w:lastRenderedPageBreak/>
        <w:t xml:space="preserve">Please attach a copy of your latest signed financial accounts. If these are more than a year </w:t>
      </w:r>
      <w:r w:rsidR="0075552F">
        <w:t>old,</w:t>
      </w:r>
      <w:r>
        <w:t xml:space="preserve"> we may ask you for additional financial information.</w:t>
      </w:r>
    </w:p>
    <w:p w14:paraId="5B3E8A60" w14:textId="77777777" w:rsidR="00786B5A" w:rsidRDefault="00786B5A" w:rsidP="00786B5A">
      <w:pPr>
        <w:spacing w:after="0" w:line="240" w:lineRule="auto"/>
        <w:rPr>
          <w:b/>
        </w:rPr>
      </w:pPr>
    </w:p>
    <w:p w14:paraId="094F774B" w14:textId="77777777" w:rsidR="00786B5A" w:rsidRPr="00092887" w:rsidRDefault="00786B5A" w:rsidP="00786B5A">
      <w:pPr>
        <w:spacing w:after="0" w:line="240" w:lineRule="auto"/>
        <w:rPr>
          <w:b/>
        </w:rPr>
      </w:pPr>
    </w:p>
    <w:p w14:paraId="783C1444" w14:textId="77777777" w:rsidR="00CF35A5" w:rsidRDefault="00CF35A5" w:rsidP="00786B5A">
      <w:pPr>
        <w:spacing w:after="0" w:line="240" w:lineRule="auto"/>
        <w:rPr>
          <w:b/>
        </w:rPr>
      </w:pPr>
      <w:r w:rsidRPr="00CF35A5">
        <w:rPr>
          <w:b/>
        </w:rPr>
        <w:t xml:space="preserve">Further information and contact </w:t>
      </w:r>
    </w:p>
    <w:p w14:paraId="3A696A92" w14:textId="77777777" w:rsidR="00CF35A5" w:rsidRPr="00CF35A5" w:rsidRDefault="00CF35A5" w:rsidP="00786B5A">
      <w:pPr>
        <w:spacing w:after="0" w:line="240" w:lineRule="auto"/>
        <w:rPr>
          <w:b/>
        </w:rPr>
      </w:pPr>
    </w:p>
    <w:p w14:paraId="036B3A43" w14:textId="77777777" w:rsidR="00CF35A5" w:rsidRDefault="00CF35A5" w:rsidP="00786B5A">
      <w:pPr>
        <w:spacing w:after="0" w:line="240" w:lineRule="auto"/>
      </w:pPr>
      <w:r>
        <w:t xml:space="preserve">If you are considering submitting a proposal, please go to </w:t>
      </w:r>
      <w:hyperlink r:id="rId8" w:history="1">
        <w:r w:rsidRPr="00CF35A5">
          <w:rPr>
            <w:rStyle w:val="Hyperlink"/>
          </w:rPr>
          <w:t>http://www.tomorrowsengineers.org.uk/energy-quest/</w:t>
        </w:r>
      </w:hyperlink>
      <w:r>
        <w:t xml:space="preserve"> where you will find out more about the programme. </w:t>
      </w:r>
    </w:p>
    <w:p w14:paraId="70F83CAC" w14:textId="77777777" w:rsidR="00CF35A5" w:rsidRDefault="00CF35A5" w:rsidP="00786B5A">
      <w:pPr>
        <w:spacing w:after="0" w:line="240" w:lineRule="auto"/>
      </w:pPr>
    </w:p>
    <w:p w14:paraId="793461FE" w14:textId="1233C2B8" w:rsidR="00CF35A5" w:rsidRDefault="00CF35A5" w:rsidP="00786B5A">
      <w:pPr>
        <w:spacing w:after="0" w:line="240" w:lineRule="auto"/>
      </w:pPr>
      <w:r>
        <w:t xml:space="preserve">Please register your interest by emailing </w:t>
      </w:r>
      <w:hyperlink r:id="rId9" w:history="1">
        <w:r w:rsidRPr="00CF35A5">
          <w:rPr>
            <w:rStyle w:val="Hyperlink"/>
          </w:rPr>
          <w:t>jhill@engineeringuk.com</w:t>
        </w:r>
      </w:hyperlink>
      <w:r>
        <w:t xml:space="preserve"> so that we can ensure you receive</w:t>
      </w:r>
      <w:r w:rsidR="0053527A">
        <w:t xml:space="preserve"> all of the resources associated with TEEQ and</w:t>
      </w:r>
      <w:r>
        <w:t xml:space="preserve"> any additional information as it becomes available (for example, in response </w:t>
      </w:r>
      <w:r w:rsidR="00786B5A">
        <w:t>to questions raised by others) and arrange a meeting to discuss the tender.</w:t>
      </w:r>
    </w:p>
    <w:p w14:paraId="4586F5F7" w14:textId="77777777" w:rsidR="00CF35A5" w:rsidRDefault="00CF35A5" w:rsidP="00786B5A">
      <w:pPr>
        <w:spacing w:after="0" w:line="240" w:lineRule="auto"/>
      </w:pPr>
    </w:p>
    <w:p w14:paraId="0165441B" w14:textId="1E246324" w:rsidR="00CF35A5" w:rsidRDefault="00CF35A5" w:rsidP="00786B5A">
      <w:pPr>
        <w:spacing w:after="0" w:line="240" w:lineRule="auto"/>
      </w:pPr>
      <w:r>
        <w:t xml:space="preserve">For all queries, please contact Jo Hill at the address </w:t>
      </w:r>
      <w:r w:rsidR="00BD3011">
        <w:t>above</w:t>
      </w:r>
      <w:r>
        <w:t xml:space="preserve">. </w:t>
      </w:r>
    </w:p>
    <w:p w14:paraId="0496A530" w14:textId="77777777" w:rsidR="00CF35A5" w:rsidRDefault="00CF35A5" w:rsidP="00786B5A">
      <w:pPr>
        <w:spacing w:after="0" w:line="240" w:lineRule="auto"/>
      </w:pPr>
    </w:p>
    <w:p w14:paraId="3EBA746E" w14:textId="1A6B6EC9" w:rsidR="00F41793" w:rsidRDefault="00476967" w:rsidP="00786B5A">
      <w:pPr>
        <w:spacing w:after="0" w:line="240" w:lineRule="auto"/>
      </w:pPr>
      <w:r>
        <w:t>EngineeringUK does not bind itself to accept the lowest value tender, or any tender received.  EngineeringUK reserves the right to accept the whole or part of any tender or to call for new tenders should it consider this course desirable.</w:t>
      </w:r>
    </w:p>
    <w:p w14:paraId="2685CBDE" w14:textId="77777777" w:rsidR="00476967" w:rsidRDefault="00476967" w:rsidP="00786B5A">
      <w:pPr>
        <w:spacing w:after="0" w:line="240" w:lineRule="auto"/>
      </w:pPr>
    </w:p>
    <w:p w14:paraId="224BD44E" w14:textId="0FB12D3C" w:rsidR="00CF35A5" w:rsidRDefault="00CF35A5" w:rsidP="00786B5A">
      <w:pPr>
        <w:spacing w:after="0" w:line="240" w:lineRule="auto"/>
      </w:pPr>
      <w:r w:rsidRPr="0094616D">
        <w:rPr>
          <w:b/>
        </w:rPr>
        <w:t>Submitting your proposal</w:t>
      </w:r>
    </w:p>
    <w:p w14:paraId="3B58ABD9" w14:textId="77777777" w:rsidR="00786B5A" w:rsidRDefault="00786B5A" w:rsidP="00786B5A">
      <w:pPr>
        <w:spacing w:after="0" w:line="240" w:lineRule="auto"/>
      </w:pPr>
    </w:p>
    <w:p w14:paraId="3FD6B029" w14:textId="2551D20A" w:rsidR="00AD6C20" w:rsidRDefault="00AD6C20" w:rsidP="00AD6C20">
      <w:r>
        <w:t xml:space="preserve">A project </w:t>
      </w:r>
      <w:r w:rsidR="00BD3011">
        <w:t>p</w:t>
      </w:r>
      <w:r>
        <w:t xml:space="preserve">roposal is required and </w:t>
      </w:r>
      <w:r w:rsidR="008A75F7">
        <w:t xml:space="preserve">as </w:t>
      </w:r>
      <w:r>
        <w:t xml:space="preserve">a minimum the </w:t>
      </w:r>
      <w:r w:rsidR="00BD3011">
        <w:t xml:space="preserve">proposal </w:t>
      </w:r>
      <w:r>
        <w:t>should include:</w:t>
      </w:r>
    </w:p>
    <w:p w14:paraId="2A30FC73" w14:textId="77777777" w:rsidR="00AD6C20" w:rsidRDefault="00AD6C20" w:rsidP="00AD6C20">
      <w:pPr>
        <w:pStyle w:val="ListParagraph"/>
        <w:numPr>
          <w:ilvl w:val="0"/>
          <w:numId w:val="17"/>
        </w:numPr>
        <w:spacing w:after="0" w:line="240" w:lineRule="auto"/>
        <w:contextualSpacing w:val="0"/>
        <w:rPr>
          <w:rFonts w:ascii="Calibri" w:hAnsi="Calibri"/>
        </w:rPr>
      </w:pPr>
      <w:r>
        <w:rPr>
          <w:rFonts w:ascii="Calibri" w:hAnsi="Calibri"/>
        </w:rPr>
        <w:t>Brief history and description of the organisation including a statement of the organisation’s experience and its ability to carry out the work</w:t>
      </w:r>
    </w:p>
    <w:p w14:paraId="3451934E" w14:textId="77777777" w:rsidR="00AD6C20" w:rsidRDefault="00AD6C20" w:rsidP="00AD6C20">
      <w:pPr>
        <w:pStyle w:val="ListParagraph"/>
        <w:numPr>
          <w:ilvl w:val="0"/>
          <w:numId w:val="17"/>
        </w:numPr>
        <w:spacing w:after="0" w:line="240" w:lineRule="auto"/>
        <w:contextualSpacing w:val="0"/>
        <w:rPr>
          <w:rFonts w:ascii="Calibri" w:hAnsi="Calibri"/>
        </w:rPr>
      </w:pPr>
      <w:r>
        <w:rPr>
          <w:rFonts w:ascii="Calibri" w:hAnsi="Calibri"/>
        </w:rPr>
        <w:t>A detailed description; brief biographies; and the roles of the people who will be assigned to the project</w:t>
      </w:r>
    </w:p>
    <w:p w14:paraId="388CF4C6" w14:textId="396A671D" w:rsidR="00AD6C20" w:rsidRDefault="00AD6C20" w:rsidP="00AD6C20">
      <w:pPr>
        <w:pStyle w:val="ListParagraph"/>
        <w:numPr>
          <w:ilvl w:val="0"/>
          <w:numId w:val="17"/>
        </w:numPr>
        <w:autoSpaceDE w:val="0"/>
        <w:autoSpaceDN w:val="0"/>
        <w:spacing w:after="70" w:line="240" w:lineRule="auto"/>
        <w:contextualSpacing w:val="0"/>
        <w:rPr>
          <w:rFonts w:ascii="Calibri" w:hAnsi="Calibri"/>
          <w:color w:val="000000"/>
          <w:lang w:eastAsia="en-GB"/>
        </w:rPr>
      </w:pPr>
      <w:r>
        <w:rPr>
          <w:rFonts w:ascii="Calibri" w:hAnsi="Calibri"/>
          <w:color w:val="000000"/>
          <w:lang w:eastAsia="en-GB"/>
        </w:rPr>
        <w:t xml:space="preserve">Two client references demonstrating impact through the delivery of activities proposed as part of the RfP </w:t>
      </w:r>
    </w:p>
    <w:p w14:paraId="129716D1" w14:textId="77777777" w:rsidR="00AD6C20" w:rsidRDefault="00AD6C20" w:rsidP="00AD6C20">
      <w:pPr>
        <w:pStyle w:val="ListParagraph"/>
        <w:numPr>
          <w:ilvl w:val="0"/>
          <w:numId w:val="17"/>
        </w:numPr>
        <w:autoSpaceDE w:val="0"/>
        <w:autoSpaceDN w:val="0"/>
        <w:spacing w:after="0" w:line="240" w:lineRule="auto"/>
        <w:contextualSpacing w:val="0"/>
        <w:rPr>
          <w:rFonts w:ascii="Calibri" w:hAnsi="Calibri"/>
          <w:color w:val="000000"/>
          <w:lang w:eastAsia="en-GB"/>
        </w:rPr>
      </w:pPr>
      <w:r>
        <w:rPr>
          <w:rFonts w:ascii="Calibri" w:hAnsi="Calibri"/>
          <w:color w:val="000000"/>
          <w:lang w:eastAsia="en-GB"/>
        </w:rPr>
        <w:t xml:space="preserve">A statement of the scope of the services to be provided, including: </w:t>
      </w:r>
    </w:p>
    <w:p w14:paraId="4952FCF5" w14:textId="4B5A14A2" w:rsidR="00AD6C20" w:rsidRPr="00AD6C20" w:rsidRDefault="00AD6C20" w:rsidP="00AD6C20">
      <w:pPr>
        <w:pStyle w:val="ListParagraph"/>
        <w:numPr>
          <w:ilvl w:val="0"/>
          <w:numId w:val="18"/>
        </w:numPr>
        <w:autoSpaceDE w:val="0"/>
        <w:autoSpaceDN w:val="0"/>
        <w:spacing w:after="53"/>
        <w:rPr>
          <w:rFonts w:ascii="Calibri" w:hAnsi="Calibri"/>
          <w:color w:val="000000"/>
          <w:lang w:eastAsia="en-GB"/>
        </w:rPr>
      </w:pPr>
      <w:r w:rsidRPr="00AD6C20">
        <w:rPr>
          <w:rFonts w:ascii="Calibri" w:hAnsi="Calibri"/>
          <w:color w:val="000000"/>
          <w:lang w:eastAsia="en-GB"/>
        </w:rPr>
        <w:t xml:space="preserve">Proposed activity and relevance to the programme requirements </w:t>
      </w:r>
    </w:p>
    <w:p w14:paraId="32B6B126" w14:textId="33BFE050" w:rsidR="00AD6C20" w:rsidRDefault="00AD6C20" w:rsidP="00AD6C20">
      <w:pPr>
        <w:pStyle w:val="ListParagraph"/>
        <w:numPr>
          <w:ilvl w:val="0"/>
          <w:numId w:val="18"/>
        </w:numPr>
        <w:autoSpaceDE w:val="0"/>
        <w:autoSpaceDN w:val="0"/>
        <w:spacing w:after="53"/>
        <w:rPr>
          <w:rFonts w:ascii="Calibri" w:hAnsi="Calibri"/>
          <w:color w:val="000000"/>
          <w:lang w:eastAsia="en-GB"/>
        </w:rPr>
      </w:pPr>
      <w:r>
        <w:rPr>
          <w:rFonts w:ascii="Calibri" w:hAnsi="Calibri"/>
          <w:color w:val="000000"/>
          <w:lang w:eastAsia="en-GB"/>
        </w:rPr>
        <w:t xml:space="preserve">Options for engaging the maximum number of schools per academic year </w:t>
      </w:r>
      <w:r w:rsidR="007F7785">
        <w:rPr>
          <w:rFonts w:ascii="Calibri" w:hAnsi="Calibri"/>
          <w:color w:val="000000"/>
          <w:lang w:eastAsia="en-GB"/>
        </w:rPr>
        <w:t>(package A only)</w:t>
      </w:r>
    </w:p>
    <w:p w14:paraId="71D02D0D" w14:textId="4CB1D840" w:rsidR="00AD6C20" w:rsidRDefault="00AD6C20" w:rsidP="00AD6C20">
      <w:pPr>
        <w:pStyle w:val="ListParagraph"/>
        <w:numPr>
          <w:ilvl w:val="0"/>
          <w:numId w:val="18"/>
        </w:numPr>
        <w:autoSpaceDE w:val="0"/>
        <w:autoSpaceDN w:val="0"/>
        <w:rPr>
          <w:rFonts w:ascii="Calibri" w:hAnsi="Calibri"/>
          <w:color w:val="000000"/>
          <w:lang w:eastAsia="en-GB"/>
        </w:rPr>
      </w:pPr>
      <w:r>
        <w:rPr>
          <w:rFonts w:ascii="Calibri" w:hAnsi="Calibri"/>
          <w:color w:val="000000"/>
          <w:lang w:eastAsia="en-GB"/>
        </w:rPr>
        <w:t xml:space="preserve">Reporting and review mechanisms and milestones </w:t>
      </w:r>
    </w:p>
    <w:p w14:paraId="5A5D4568" w14:textId="77777777" w:rsidR="00AD6C20" w:rsidRDefault="00AD6C20" w:rsidP="00AD6C20">
      <w:pPr>
        <w:pStyle w:val="ListParagraph"/>
        <w:numPr>
          <w:ilvl w:val="0"/>
          <w:numId w:val="17"/>
        </w:numPr>
        <w:autoSpaceDE w:val="0"/>
        <w:autoSpaceDN w:val="0"/>
        <w:spacing w:after="0" w:line="240" w:lineRule="auto"/>
        <w:contextualSpacing w:val="0"/>
        <w:rPr>
          <w:rFonts w:ascii="Calibri" w:hAnsi="Calibri"/>
          <w:color w:val="000000"/>
          <w:lang w:eastAsia="en-GB"/>
        </w:rPr>
      </w:pPr>
      <w:r>
        <w:rPr>
          <w:rFonts w:ascii="Calibri" w:hAnsi="Calibri"/>
          <w:color w:val="000000"/>
          <w:lang w:eastAsia="en-GB"/>
        </w:rPr>
        <w:t xml:space="preserve"> An outline project plan, including development and operational timelines </w:t>
      </w:r>
    </w:p>
    <w:p w14:paraId="6C9A127F" w14:textId="0530F211" w:rsidR="008A75F7" w:rsidRDefault="008A75F7" w:rsidP="008A75F7">
      <w:pPr>
        <w:pStyle w:val="ListParagraph"/>
        <w:numPr>
          <w:ilvl w:val="0"/>
          <w:numId w:val="18"/>
        </w:numPr>
        <w:autoSpaceDE w:val="0"/>
        <w:autoSpaceDN w:val="0"/>
        <w:spacing w:after="53"/>
        <w:rPr>
          <w:rFonts w:ascii="Calibri" w:hAnsi="Calibri"/>
          <w:color w:val="000000"/>
          <w:lang w:eastAsia="en-GB"/>
        </w:rPr>
      </w:pPr>
      <w:r>
        <w:rPr>
          <w:rFonts w:ascii="Calibri" w:hAnsi="Calibri"/>
          <w:color w:val="000000"/>
          <w:lang w:eastAsia="en-GB"/>
        </w:rPr>
        <w:t xml:space="preserve">A complete breakdown of prices by each deliverable, including costs per school and per learner engagement </w:t>
      </w:r>
      <w:r w:rsidR="007F7785">
        <w:rPr>
          <w:rFonts w:ascii="Calibri" w:hAnsi="Calibri"/>
          <w:color w:val="000000"/>
          <w:lang w:eastAsia="en-GB"/>
        </w:rPr>
        <w:t>(package A only)</w:t>
      </w:r>
    </w:p>
    <w:p w14:paraId="5DC1E56B" w14:textId="77777777" w:rsidR="00AD6C20" w:rsidRDefault="00AD6C20" w:rsidP="00786B5A">
      <w:pPr>
        <w:spacing w:after="0" w:line="240" w:lineRule="auto"/>
      </w:pPr>
    </w:p>
    <w:p w14:paraId="66F50E17" w14:textId="2F5D1FED" w:rsidR="00786B5A" w:rsidRDefault="00786B5A" w:rsidP="00786B5A">
      <w:pPr>
        <w:spacing w:after="0" w:line="240" w:lineRule="auto"/>
      </w:pPr>
      <w:r>
        <w:t xml:space="preserve">Please submit your </w:t>
      </w:r>
      <w:r w:rsidR="00FB2AB1">
        <w:t xml:space="preserve">proposal </w:t>
      </w:r>
      <w:r w:rsidR="00BC5AD6">
        <w:t xml:space="preserve">including </w:t>
      </w:r>
      <w:r>
        <w:t>all the criteria mentioned</w:t>
      </w:r>
      <w:r w:rsidR="00BC5AD6">
        <w:t xml:space="preserve"> above</w:t>
      </w:r>
      <w:r>
        <w:t xml:space="preserve"> and any additional relevant information.</w:t>
      </w:r>
    </w:p>
    <w:p w14:paraId="622A7693" w14:textId="77777777" w:rsidR="00786B5A" w:rsidRDefault="00786B5A" w:rsidP="00786B5A">
      <w:pPr>
        <w:spacing w:after="0" w:line="240" w:lineRule="auto"/>
      </w:pPr>
    </w:p>
    <w:p w14:paraId="493132B9" w14:textId="0E8C915E" w:rsidR="00CF35A5" w:rsidRDefault="00CF35A5" w:rsidP="00786B5A">
      <w:pPr>
        <w:spacing w:after="0" w:line="240" w:lineRule="auto"/>
      </w:pPr>
      <w:r>
        <w:t xml:space="preserve">The deadline for receipt of written proposals is </w:t>
      </w:r>
      <w:r w:rsidR="00FB2AB1">
        <w:t xml:space="preserve">no later than midday on Monday </w:t>
      </w:r>
      <w:r w:rsidRPr="00786B5A">
        <w:rPr>
          <w:b/>
        </w:rPr>
        <w:t>3</w:t>
      </w:r>
      <w:r w:rsidRPr="00786B5A">
        <w:rPr>
          <w:b/>
          <w:vertAlign w:val="superscript"/>
        </w:rPr>
        <w:t>rd</w:t>
      </w:r>
      <w:r w:rsidRPr="00786B5A">
        <w:rPr>
          <w:b/>
        </w:rPr>
        <w:t xml:space="preserve"> April 2017</w:t>
      </w:r>
      <w:r>
        <w:t>. Confirmation of receipt will be provided. All proposals should be sent via email or post to:</w:t>
      </w:r>
    </w:p>
    <w:p w14:paraId="727CF65D" w14:textId="77777777" w:rsidR="00CF35A5" w:rsidRDefault="00CF35A5" w:rsidP="00786B5A">
      <w:pPr>
        <w:spacing w:after="0" w:line="240" w:lineRule="auto"/>
      </w:pPr>
    </w:p>
    <w:p w14:paraId="3F044AEA" w14:textId="6DC3B971" w:rsidR="00CF35A5" w:rsidRDefault="00CF35A5" w:rsidP="00786B5A">
      <w:pPr>
        <w:spacing w:after="0" w:line="240" w:lineRule="auto"/>
      </w:pPr>
      <w:r>
        <w:t>Jo Hill</w:t>
      </w:r>
      <w:r w:rsidR="00786B5A">
        <w:t xml:space="preserve"> </w:t>
      </w:r>
    </w:p>
    <w:p w14:paraId="66C56E5F" w14:textId="3F28248E" w:rsidR="00FD7B4E" w:rsidRDefault="00FD7B4E" w:rsidP="00786B5A">
      <w:pPr>
        <w:spacing w:after="0" w:line="240" w:lineRule="auto"/>
      </w:pPr>
      <w:r>
        <w:t>Product Development Manager</w:t>
      </w:r>
    </w:p>
    <w:p w14:paraId="22BADA09" w14:textId="76CA1928" w:rsidR="00CF35A5" w:rsidRDefault="00CF35A5" w:rsidP="00786B5A">
      <w:pPr>
        <w:spacing w:after="0" w:line="240" w:lineRule="auto"/>
      </w:pPr>
      <w:r>
        <w:t>EngineeringUK</w:t>
      </w:r>
    </w:p>
    <w:p w14:paraId="3BCD5F53" w14:textId="19624C3A" w:rsidR="00CF35A5" w:rsidRDefault="00CF35A5" w:rsidP="00786B5A">
      <w:pPr>
        <w:spacing w:after="0" w:line="240" w:lineRule="auto"/>
      </w:pPr>
      <w:r>
        <w:t>5</w:t>
      </w:r>
      <w:r w:rsidRPr="00CF35A5">
        <w:rPr>
          <w:vertAlign w:val="superscript"/>
        </w:rPr>
        <w:t>th</w:t>
      </w:r>
      <w:r>
        <w:t xml:space="preserve"> Floor</w:t>
      </w:r>
      <w:r w:rsidR="00FD7B4E">
        <w:t xml:space="preserve">, </w:t>
      </w:r>
      <w:r>
        <w:t>Woolgate Exchange</w:t>
      </w:r>
    </w:p>
    <w:p w14:paraId="2761AC0B" w14:textId="69E828D8" w:rsidR="00CF35A5" w:rsidRDefault="00CF35A5" w:rsidP="00786B5A">
      <w:pPr>
        <w:spacing w:after="0" w:line="240" w:lineRule="auto"/>
      </w:pPr>
      <w:r>
        <w:t>25 Basinghall Street</w:t>
      </w:r>
    </w:p>
    <w:p w14:paraId="0A73C781" w14:textId="522E6D5D" w:rsidR="00BF487D" w:rsidRDefault="00CF35A5" w:rsidP="00786B5A">
      <w:pPr>
        <w:spacing w:after="0" w:line="240" w:lineRule="auto"/>
      </w:pPr>
      <w:r>
        <w:t>London</w:t>
      </w:r>
      <w:r w:rsidR="00FD7B4E">
        <w:t xml:space="preserve">, </w:t>
      </w:r>
      <w:r>
        <w:t>EC2V 5HA</w:t>
      </w:r>
    </w:p>
    <w:p w14:paraId="6D5F079A" w14:textId="2F1556FC" w:rsidR="009A639C" w:rsidRDefault="001A5784" w:rsidP="004966E0">
      <w:pPr>
        <w:rPr>
          <w:rFonts w:ascii="Calibri" w:eastAsia="Calibri" w:hAnsi="Calibri" w:cs="Times New Roman"/>
          <w:b/>
        </w:rPr>
      </w:pPr>
      <w:hyperlink r:id="rId10" w:history="1">
        <w:r w:rsidR="00786B5A" w:rsidRPr="00CF35A5">
          <w:rPr>
            <w:rStyle w:val="Hyperlink"/>
          </w:rPr>
          <w:t>jhill@engineeringuk.com</w:t>
        </w:r>
      </w:hyperlink>
    </w:p>
    <w:p w14:paraId="7E769CC2" w14:textId="77777777" w:rsidR="006C4E8B" w:rsidRPr="00592A54" w:rsidRDefault="006C4E8B" w:rsidP="00592A54">
      <w:pPr>
        <w:spacing w:after="0" w:line="240" w:lineRule="auto"/>
        <w:jc w:val="both"/>
        <w:rPr>
          <w:rFonts w:ascii="Calibri" w:eastAsia="Calibri" w:hAnsi="Calibri" w:cs="Times New Roman"/>
          <w:b/>
        </w:rPr>
      </w:pPr>
    </w:p>
    <w:sectPr w:rsidR="006C4E8B" w:rsidRPr="00592A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1940" w14:textId="77777777" w:rsidR="001A5784" w:rsidRDefault="001A5784" w:rsidP="00A378CF">
      <w:pPr>
        <w:spacing w:after="0" w:line="240" w:lineRule="auto"/>
      </w:pPr>
      <w:r>
        <w:separator/>
      </w:r>
    </w:p>
  </w:endnote>
  <w:endnote w:type="continuationSeparator" w:id="0">
    <w:p w14:paraId="7C70D703" w14:textId="77777777" w:rsidR="001A5784" w:rsidRDefault="001A5784" w:rsidP="00A3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53A79" w14:textId="77777777" w:rsidR="001A5784" w:rsidRDefault="001A5784" w:rsidP="00A378CF">
      <w:pPr>
        <w:spacing w:after="0" w:line="240" w:lineRule="auto"/>
      </w:pPr>
      <w:r>
        <w:separator/>
      </w:r>
    </w:p>
  </w:footnote>
  <w:footnote w:type="continuationSeparator" w:id="0">
    <w:p w14:paraId="411D75DF" w14:textId="77777777" w:rsidR="001A5784" w:rsidRDefault="001A5784" w:rsidP="00A378CF">
      <w:pPr>
        <w:spacing w:after="0" w:line="240" w:lineRule="auto"/>
      </w:pPr>
      <w:r>
        <w:continuationSeparator/>
      </w:r>
    </w:p>
  </w:footnote>
  <w:footnote w:id="1">
    <w:p w14:paraId="65C51B5B" w14:textId="0C8E7E09" w:rsidR="00A13C7A" w:rsidRDefault="00A13C7A">
      <w:pPr>
        <w:pStyle w:val="FootnoteText"/>
      </w:pPr>
      <w:r>
        <w:rPr>
          <w:rStyle w:val="FootnoteReference"/>
        </w:rPr>
        <w:footnoteRef/>
      </w:r>
      <w:r>
        <w:t xml:space="preserve"> KS3 in England and Wales, S1 and S2 in Scotland.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BD2"/>
    <w:multiLevelType w:val="hybridMultilevel"/>
    <w:tmpl w:val="D1EAAAE4"/>
    <w:lvl w:ilvl="0" w:tplc="5BD8BF9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1E6C"/>
    <w:multiLevelType w:val="hybridMultilevel"/>
    <w:tmpl w:val="286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05AAC"/>
    <w:multiLevelType w:val="hybridMultilevel"/>
    <w:tmpl w:val="9FB45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54143B"/>
    <w:multiLevelType w:val="hybridMultilevel"/>
    <w:tmpl w:val="8D08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E2441"/>
    <w:multiLevelType w:val="hybridMultilevel"/>
    <w:tmpl w:val="69F2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E44D49"/>
    <w:multiLevelType w:val="hybridMultilevel"/>
    <w:tmpl w:val="380C8A3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1271868"/>
    <w:multiLevelType w:val="hybridMultilevel"/>
    <w:tmpl w:val="7F00A814"/>
    <w:lvl w:ilvl="0" w:tplc="5BD8BF9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C249B"/>
    <w:multiLevelType w:val="hybridMultilevel"/>
    <w:tmpl w:val="2A369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363958"/>
    <w:multiLevelType w:val="hybridMultilevel"/>
    <w:tmpl w:val="E06E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05E4F"/>
    <w:multiLevelType w:val="hybridMultilevel"/>
    <w:tmpl w:val="34CC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7471D"/>
    <w:multiLevelType w:val="hybridMultilevel"/>
    <w:tmpl w:val="D4FEA87C"/>
    <w:lvl w:ilvl="0" w:tplc="5BD8BF9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E0EFD"/>
    <w:multiLevelType w:val="hybridMultilevel"/>
    <w:tmpl w:val="34646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DC613D"/>
    <w:multiLevelType w:val="hybridMultilevel"/>
    <w:tmpl w:val="024A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B3DDB"/>
    <w:multiLevelType w:val="hybridMultilevel"/>
    <w:tmpl w:val="D12C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D7211"/>
    <w:multiLevelType w:val="hybridMultilevel"/>
    <w:tmpl w:val="953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A4420"/>
    <w:multiLevelType w:val="hybridMultilevel"/>
    <w:tmpl w:val="81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A72DC"/>
    <w:multiLevelType w:val="hybridMultilevel"/>
    <w:tmpl w:val="6282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177AD"/>
    <w:multiLevelType w:val="hybridMultilevel"/>
    <w:tmpl w:val="20DE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512F5"/>
    <w:multiLevelType w:val="hybridMultilevel"/>
    <w:tmpl w:val="BF98A970"/>
    <w:lvl w:ilvl="0" w:tplc="17765C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F451AEB"/>
    <w:multiLevelType w:val="hybridMultilevel"/>
    <w:tmpl w:val="C4D2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E3462"/>
    <w:multiLevelType w:val="hybridMultilevel"/>
    <w:tmpl w:val="0088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66A3A"/>
    <w:multiLevelType w:val="hybridMultilevel"/>
    <w:tmpl w:val="F1BC3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06970"/>
    <w:multiLevelType w:val="hybridMultilevel"/>
    <w:tmpl w:val="748A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241F2"/>
    <w:multiLevelType w:val="hybridMultilevel"/>
    <w:tmpl w:val="242402DA"/>
    <w:lvl w:ilvl="0" w:tplc="5BD8BF9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88" w:hanging="360"/>
      </w:pPr>
      <w:rPr>
        <w:rFonts w:ascii="Courier New" w:hAnsi="Courier New" w:cs="Courier New" w:hint="default"/>
      </w:rPr>
    </w:lvl>
    <w:lvl w:ilvl="2" w:tplc="08090005" w:tentative="1">
      <w:start w:val="1"/>
      <w:numFmt w:val="bullet"/>
      <w:lvlText w:val=""/>
      <w:lvlJc w:val="left"/>
      <w:pPr>
        <w:ind w:left="808" w:hanging="360"/>
      </w:pPr>
      <w:rPr>
        <w:rFonts w:ascii="Wingdings" w:hAnsi="Wingdings" w:hint="default"/>
      </w:rPr>
    </w:lvl>
    <w:lvl w:ilvl="3" w:tplc="08090001" w:tentative="1">
      <w:start w:val="1"/>
      <w:numFmt w:val="bullet"/>
      <w:lvlText w:val=""/>
      <w:lvlJc w:val="left"/>
      <w:pPr>
        <w:ind w:left="1528" w:hanging="360"/>
      </w:pPr>
      <w:rPr>
        <w:rFonts w:ascii="Symbol" w:hAnsi="Symbol" w:hint="default"/>
      </w:rPr>
    </w:lvl>
    <w:lvl w:ilvl="4" w:tplc="08090003" w:tentative="1">
      <w:start w:val="1"/>
      <w:numFmt w:val="bullet"/>
      <w:lvlText w:val="o"/>
      <w:lvlJc w:val="left"/>
      <w:pPr>
        <w:ind w:left="2248" w:hanging="360"/>
      </w:pPr>
      <w:rPr>
        <w:rFonts w:ascii="Courier New" w:hAnsi="Courier New" w:cs="Courier New" w:hint="default"/>
      </w:rPr>
    </w:lvl>
    <w:lvl w:ilvl="5" w:tplc="08090005" w:tentative="1">
      <w:start w:val="1"/>
      <w:numFmt w:val="bullet"/>
      <w:lvlText w:val=""/>
      <w:lvlJc w:val="left"/>
      <w:pPr>
        <w:ind w:left="2968" w:hanging="360"/>
      </w:pPr>
      <w:rPr>
        <w:rFonts w:ascii="Wingdings" w:hAnsi="Wingdings" w:hint="default"/>
      </w:rPr>
    </w:lvl>
    <w:lvl w:ilvl="6" w:tplc="08090001" w:tentative="1">
      <w:start w:val="1"/>
      <w:numFmt w:val="bullet"/>
      <w:lvlText w:val=""/>
      <w:lvlJc w:val="left"/>
      <w:pPr>
        <w:ind w:left="3688" w:hanging="360"/>
      </w:pPr>
      <w:rPr>
        <w:rFonts w:ascii="Symbol" w:hAnsi="Symbol" w:hint="default"/>
      </w:rPr>
    </w:lvl>
    <w:lvl w:ilvl="7" w:tplc="08090003" w:tentative="1">
      <w:start w:val="1"/>
      <w:numFmt w:val="bullet"/>
      <w:lvlText w:val="o"/>
      <w:lvlJc w:val="left"/>
      <w:pPr>
        <w:ind w:left="4408" w:hanging="360"/>
      </w:pPr>
      <w:rPr>
        <w:rFonts w:ascii="Courier New" w:hAnsi="Courier New" w:cs="Courier New" w:hint="default"/>
      </w:rPr>
    </w:lvl>
    <w:lvl w:ilvl="8" w:tplc="08090005" w:tentative="1">
      <w:start w:val="1"/>
      <w:numFmt w:val="bullet"/>
      <w:lvlText w:val=""/>
      <w:lvlJc w:val="left"/>
      <w:pPr>
        <w:ind w:left="5128" w:hanging="360"/>
      </w:pPr>
      <w:rPr>
        <w:rFonts w:ascii="Wingdings" w:hAnsi="Wingdings" w:hint="default"/>
      </w:rPr>
    </w:lvl>
  </w:abstractNum>
  <w:abstractNum w:abstractNumId="24" w15:restartNumberingAfterBreak="0">
    <w:nsid w:val="73CF0F8F"/>
    <w:multiLevelType w:val="hybridMultilevel"/>
    <w:tmpl w:val="BAACE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5"/>
  </w:num>
  <w:num w:numId="6">
    <w:abstractNumId w:val="12"/>
  </w:num>
  <w:num w:numId="7">
    <w:abstractNumId w:val="7"/>
  </w:num>
  <w:num w:numId="8">
    <w:abstractNumId w:val="24"/>
  </w:num>
  <w:num w:numId="9">
    <w:abstractNumId w:val="14"/>
  </w:num>
  <w:num w:numId="10">
    <w:abstractNumId w:val="10"/>
  </w:num>
  <w:num w:numId="11">
    <w:abstractNumId w:val="23"/>
  </w:num>
  <w:num w:numId="12">
    <w:abstractNumId w:val="0"/>
  </w:num>
  <w:num w:numId="13">
    <w:abstractNumId w:val="6"/>
  </w:num>
  <w:num w:numId="14">
    <w:abstractNumId w:val="21"/>
  </w:num>
  <w:num w:numId="15">
    <w:abstractNumId w:val="7"/>
  </w:num>
  <w:num w:numId="16">
    <w:abstractNumId w:val="9"/>
  </w:num>
  <w:num w:numId="17">
    <w:abstractNumId w:val="4"/>
  </w:num>
  <w:num w:numId="18">
    <w:abstractNumId w:val="18"/>
  </w:num>
  <w:num w:numId="19">
    <w:abstractNumId w:val="11"/>
  </w:num>
  <w:num w:numId="20">
    <w:abstractNumId w:val="2"/>
  </w:num>
  <w:num w:numId="21">
    <w:abstractNumId w:val="3"/>
  </w:num>
  <w:num w:numId="22">
    <w:abstractNumId w:val="22"/>
  </w:num>
  <w:num w:numId="23">
    <w:abstractNumId w:val="16"/>
  </w:num>
  <w:num w:numId="24">
    <w:abstractNumId w:val="19"/>
  </w:num>
  <w:num w:numId="25">
    <w:abstractNumId w:val="8"/>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DB"/>
    <w:rsid w:val="00011349"/>
    <w:rsid w:val="000149BE"/>
    <w:rsid w:val="0001664B"/>
    <w:rsid w:val="00027A8F"/>
    <w:rsid w:val="00044AF7"/>
    <w:rsid w:val="000523CB"/>
    <w:rsid w:val="000901CA"/>
    <w:rsid w:val="00092887"/>
    <w:rsid w:val="00092C4C"/>
    <w:rsid w:val="000A4083"/>
    <w:rsid w:val="000C5616"/>
    <w:rsid w:val="000D1B08"/>
    <w:rsid w:val="000D6524"/>
    <w:rsid w:val="000F5CD5"/>
    <w:rsid w:val="0010362C"/>
    <w:rsid w:val="00120721"/>
    <w:rsid w:val="0012329D"/>
    <w:rsid w:val="001234B7"/>
    <w:rsid w:val="00130523"/>
    <w:rsid w:val="00134C8D"/>
    <w:rsid w:val="00147D0A"/>
    <w:rsid w:val="00160509"/>
    <w:rsid w:val="00170590"/>
    <w:rsid w:val="001816C5"/>
    <w:rsid w:val="0019007A"/>
    <w:rsid w:val="001937E4"/>
    <w:rsid w:val="001A5784"/>
    <w:rsid w:val="001B7A6B"/>
    <w:rsid w:val="001C2BDE"/>
    <w:rsid w:val="001C3E04"/>
    <w:rsid w:val="001F3E45"/>
    <w:rsid w:val="0020344B"/>
    <w:rsid w:val="00205F04"/>
    <w:rsid w:val="002068E2"/>
    <w:rsid w:val="00206FA3"/>
    <w:rsid w:val="00223622"/>
    <w:rsid w:val="002254F2"/>
    <w:rsid w:val="0023523D"/>
    <w:rsid w:val="00267A7B"/>
    <w:rsid w:val="00275C98"/>
    <w:rsid w:val="002878A4"/>
    <w:rsid w:val="002A6170"/>
    <w:rsid w:val="002A73BD"/>
    <w:rsid w:val="002B366F"/>
    <w:rsid w:val="002B628E"/>
    <w:rsid w:val="002D2205"/>
    <w:rsid w:val="002E12A8"/>
    <w:rsid w:val="002E29C7"/>
    <w:rsid w:val="002F053E"/>
    <w:rsid w:val="00303B9E"/>
    <w:rsid w:val="00307309"/>
    <w:rsid w:val="00327CB5"/>
    <w:rsid w:val="00353573"/>
    <w:rsid w:val="00380C89"/>
    <w:rsid w:val="003C05F2"/>
    <w:rsid w:val="003C2B78"/>
    <w:rsid w:val="003F2554"/>
    <w:rsid w:val="003F753B"/>
    <w:rsid w:val="00410A7C"/>
    <w:rsid w:val="00412D3B"/>
    <w:rsid w:val="0042320F"/>
    <w:rsid w:val="0042731A"/>
    <w:rsid w:val="0044259F"/>
    <w:rsid w:val="00450557"/>
    <w:rsid w:val="004701FF"/>
    <w:rsid w:val="00476967"/>
    <w:rsid w:val="00484A97"/>
    <w:rsid w:val="00486C27"/>
    <w:rsid w:val="004922E3"/>
    <w:rsid w:val="004966E0"/>
    <w:rsid w:val="004A3517"/>
    <w:rsid w:val="004A58E1"/>
    <w:rsid w:val="004E0CB5"/>
    <w:rsid w:val="004E601D"/>
    <w:rsid w:val="004E6515"/>
    <w:rsid w:val="0050768F"/>
    <w:rsid w:val="0053527A"/>
    <w:rsid w:val="00544B16"/>
    <w:rsid w:val="005868BB"/>
    <w:rsid w:val="00592A54"/>
    <w:rsid w:val="005D2CA6"/>
    <w:rsid w:val="005E40FD"/>
    <w:rsid w:val="005E5852"/>
    <w:rsid w:val="0060199C"/>
    <w:rsid w:val="006041B8"/>
    <w:rsid w:val="00607D71"/>
    <w:rsid w:val="00614966"/>
    <w:rsid w:val="00615D55"/>
    <w:rsid w:val="00622F26"/>
    <w:rsid w:val="00623AC7"/>
    <w:rsid w:val="006270AF"/>
    <w:rsid w:val="00642EF4"/>
    <w:rsid w:val="0065799D"/>
    <w:rsid w:val="00664B58"/>
    <w:rsid w:val="00676E07"/>
    <w:rsid w:val="0068348A"/>
    <w:rsid w:val="006B4062"/>
    <w:rsid w:val="006C444B"/>
    <w:rsid w:val="006C4E8B"/>
    <w:rsid w:val="007113B4"/>
    <w:rsid w:val="00731AF4"/>
    <w:rsid w:val="007324B4"/>
    <w:rsid w:val="00732F11"/>
    <w:rsid w:val="0075552F"/>
    <w:rsid w:val="007657A1"/>
    <w:rsid w:val="00786B5A"/>
    <w:rsid w:val="00786EA1"/>
    <w:rsid w:val="007D0B17"/>
    <w:rsid w:val="007F7785"/>
    <w:rsid w:val="007F7AB9"/>
    <w:rsid w:val="00822D44"/>
    <w:rsid w:val="00827E89"/>
    <w:rsid w:val="008566AC"/>
    <w:rsid w:val="0086300C"/>
    <w:rsid w:val="00876F23"/>
    <w:rsid w:val="008811B3"/>
    <w:rsid w:val="008A75F7"/>
    <w:rsid w:val="008C68AA"/>
    <w:rsid w:val="008D2132"/>
    <w:rsid w:val="008D46CF"/>
    <w:rsid w:val="008E1580"/>
    <w:rsid w:val="00902F30"/>
    <w:rsid w:val="00916A9F"/>
    <w:rsid w:val="00931040"/>
    <w:rsid w:val="00935722"/>
    <w:rsid w:val="0094616D"/>
    <w:rsid w:val="00953D71"/>
    <w:rsid w:val="00962CDC"/>
    <w:rsid w:val="0097402C"/>
    <w:rsid w:val="009917AC"/>
    <w:rsid w:val="009A639C"/>
    <w:rsid w:val="009A7486"/>
    <w:rsid w:val="009B1182"/>
    <w:rsid w:val="009C25A3"/>
    <w:rsid w:val="009C7BD8"/>
    <w:rsid w:val="009C7C30"/>
    <w:rsid w:val="009F5AEF"/>
    <w:rsid w:val="00A0039A"/>
    <w:rsid w:val="00A13C7A"/>
    <w:rsid w:val="00A326C2"/>
    <w:rsid w:val="00A378CF"/>
    <w:rsid w:val="00A57E2C"/>
    <w:rsid w:val="00A76BAB"/>
    <w:rsid w:val="00AB743B"/>
    <w:rsid w:val="00AC3DBD"/>
    <w:rsid w:val="00AC4253"/>
    <w:rsid w:val="00AC7D50"/>
    <w:rsid w:val="00AD6C20"/>
    <w:rsid w:val="00AE1273"/>
    <w:rsid w:val="00B21EAD"/>
    <w:rsid w:val="00B50225"/>
    <w:rsid w:val="00B50B1C"/>
    <w:rsid w:val="00BA1246"/>
    <w:rsid w:val="00BC4FF1"/>
    <w:rsid w:val="00BC5AD6"/>
    <w:rsid w:val="00BC79DB"/>
    <w:rsid w:val="00BD3011"/>
    <w:rsid w:val="00BD4AE8"/>
    <w:rsid w:val="00BF487D"/>
    <w:rsid w:val="00C01A8C"/>
    <w:rsid w:val="00C17B40"/>
    <w:rsid w:val="00C23F9F"/>
    <w:rsid w:val="00C30FCA"/>
    <w:rsid w:val="00C45F0C"/>
    <w:rsid w:val="00C4660E"/>
    <w:rsid w:val="00C525A3"/>
    <w:rsid w:val="00C52D83"/>
    <w:rsid w:val="00C80BDA"/>
    <w:rsid w:val="00C84129"/>
    <w:rsid w:val="00C84EF9"/>
    <w:rsid w:val="00C87B0A"/>
    <w:rsid w:val="00CA6498"/>
    <w:rsid w:val="00CB0BAE"/>
    <w:rsid w:val="00CF35A5"/>
    <w:rsid w:val="00D53C7A"/>
    <w:rsid w:val="00D60865"/>
    <w:rsid w:val="00D90F47"/>
    <w:rsid w:val="00D95424"/>
    <w:rsid w:val="00DA3E76"/>
    <w:rsid w:val="00DD520B"/>
    <w:rsid w:val="00DD5BD4"/>
    <w:rsid w:val="00DF4F79"/>
    <w:rsid w:val="00DF61DF"/>
    <w:rsid w:val="00E00C91"/>
    <w:rsid w:val="00E0371F"/>
    <w:rsid w:val="00E178D6"/>
    <w:rsid w:val="00E92B82"/>
    <w:rsid w:val="00E96457"/>
    <w:rsid w:val="00EA740C"/>
    <w:rsid w:val="00EE46D6"/>
    <w:rsid w:val="00F04F6C"/>
    <w:rsid w:val="00F1185E"/>
    <w:rsid w:val="00F12F23"/>
    <w:rsid w:val="00F23064"/>
    <w:rsid w:val="00F40F3D"/>
    <w:rsid w:val="00F41793"/>
    <w:rsid w:val="00F44DDA"/>
    <w:rsid w:val="00F8096C"/>
    <w:rsid w:val="00F9065F"/>
    <w:rsid w:val="00F926D5"/>
    <w:rsid w:val="00FA4B68"/>
    <w:rsid w:val="00FB2AB1"/>
    <w:rsid w:val="00FD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34DAF"/>
  <w15:docId w15:val="{E56ACC66-55B7-415E-8D9F-750B6BD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2034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2034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27CB5"/>
    <w:pPr>
      <w:ind w:left="720"/>
      <w:contextualSpacing/>
    </w:pPr>
  </w:style>
  <w:style w:type="character" w:styleId="CommentReference">
    <w:name w:val="annotation reference"/>
    <w:basedOn w:val="DefaultParagraphFont"/>
    <w:uiPriority w:val="99"/>
    <w:semiHidden/>
    <w:unhideWhenUsed/>
    <w:rsid w:val="00327CB5"/>
    <w:rPr>
      <w:sz w:val="16"/>
      <w:szCs w:val="16"/>
    </w:rPr>
  </w:style>
  <w:style w:type="paragraph" w:styleId="CommentText">
    <w:name w:val="annotation text"/>
    <w:basedOn w:val="Normal"/>
    <w:link w:val="CommentTextChar"/>
    <w:uiPriority w:val="99"/>
    <w:semiHidden/>
    <w:unhideWhenUsed/>
    <w:rsid w:val="00327CB5"/>
    <w:pPr>
      <w:spacing w:line="240" w:lineRule="auto"/>
    </w:pPr>
    <w:rPr>
      <w:sz w:val="20"/>
      <w:szCs w:val="20"/>
    </w:rPr>
  </w:style>
  <w:style w:type="character" w:customStyle="1" w:styleId="CommentTextChar">
    <w:name w:val="Comment Text Char"/>
    <w:basedOn w:val="DefaultParagraphFont"/>
    <w:link w:val="CommentText"/>
    <w:uiPriority w:val="99"/>
    <w:semiHidden/>
    <w:rsid w:val="00327CB5"/>
    <w:rPr>
      <w:sz w:val="20"/>
      <w:szCs w:val="20"/>
    </w:rPr>
  </w:style>
  <w:style w:type="paragraph" w:styleId="CommentSubject">
    <w:name w:val="annotation subject"/>
    <w:basedOn w:val="CommentText"/>
    <w:next w:val="CommentText"/>
    <w:link w:val="CommentSubjectChar"/>
    <w:uiPriority w:val="99"/>
    <w:semiHidden/>
    <w:unhideWhenUsed/>
    <w:rsid w:val="00327CB5"/>
    <w:rPr>
      <w:b/>
      <w:bCs/>
    </w:rPr>
  </w:style>
  <w:style w:type="character" w:customStyle="1" w:styleId="CommentSubjectChar">
    <w:name w:val="Comment Subject Char"/>
    <w:basedOn w:val="CommentTextChar"/>
    <w:link w:val="CommentSubject"/>
    <w:uiPriority w:val="99"/>
    <w:semiHidden/>
    <w:rsid w:val="00327CB5"/>
    <w:rPr>
      <w:b/>
      <w:bCs/>
      <w:sz w:val="20"/>
      <w:szCs w:val="20"/>
    </w:rPr>
  </w:style>
  <w:style w:type="paragraph" w:styleId="BalloonText">
    <w:name w:val="Balloon Text"/>
    <w:basedOn w:val="Normal"/>
    <w:link w:val="BalloonTextChar"/>
    <w:uiPriority w:val="99"/>
    <w:semiHidden/>
    <w:unhideWhenUsed/>
    <w:rsid w:val="00327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B5"/>
    <w:rPr>
      <w:rFonts w:ascii="Segoe UI" w:hAnsi="Segoe UI" w:cs="Segoe UI"/>
      <w:sz w:val="18"/>
      <w:szCs w:val="18"/>
    </w:rPr>
  </w:style>
  <w:style w:type="table" w:customStyle="1" w:styleId="TableGridLight10">
    <w:name w:val="Table Grid Light1"/>
    <w:basedOn w:val="TableNormal"/>
    <w:next w:val="TableGridLight1"/>
    <w:uiPriority w:val="40"/>
    <w:rsid w:val="0023523D"/>
    <w:pPr>
      <w:spacing w:after="0" w:line="240" w:lineRule="auto"/>
    </w:pPr>
    <w:rPr>
      <w:rFonts w:ascii="Calibri" w:eastAsia="Calibri" w:hAnsi="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37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8CF"/>
    <w:rPr>
      <w:sz w:val="20"/>
      <w:szCs w:val="20"/>
    </w:rPr>
  </w:style>
  <w:style w:type="character" w:styleId="FootnoteReference">
    <w:name w:val="footnote reference"/>
    <w:basedOn w:val="DefaultParagraphFont"/>
    <w:uiPriority w:val="99"/>
    <w:semiHidden/>
    <w:unhideWhenUsed/>
    <w:rsid w:val="00A378CF"/>
    <w:rPr>
      <w:vertAlign w:val="superscript"/>
    </w:rPr>
  </w:style>
  <w:style w:type="character" w:styleId="Hyperlink">
    <w:name w:val="Hyperlink"/>
    <w:basedOn w:val="DefaultParagraphFont"/>
    <w:uiPriority w:val="99"/>
    <w:unhideWhenUsed/>
    <w:rsid w:val="00CF35A5"/>
    <w:rPr>
      <w:color w:val="0563C1" w:themeColor="hyperlink"/>
      <w:u w:val="single"/>
    </w:rPr>
  </w:style>
  <w:style w:type="table" w:customStyle="1" w:styleId="TableGrid1">
    <w:name w:val="Table Grid1"/>
    <w:basedOn w:val="TableNormal"/>
    <w:next w:val="TableGrid"/>
    <w:uiPriority w:val="39"/>
    <w:rsid w:val="004E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673">
      <w:bodyDiv w:val="1"/>
      <w:marLeft w:val="0"/>
      <w:marRight w:val="0"/>
      <w:marTop w:val="0"/>
      <w:marBottom w:val="0"/>
      <w:divBdr>
        <w:top w:val="none" w:sz="0" w:space="0" w:color="auto"/>
        <w:left w:val="none" w:sz="0" w:space="0" w:color="auto"/>
        <w:bottom w:val="none" w:sz="0" w:space="0" w:color="auto"/>
        <w:right w:val="none" w:sz="0" w:space="0" w:color="auto"/>
      </w:divBdr>
    </w:div>
    <w:div w:id="191117767">
      <w:bodyDiv w:val="1"/>
      <w:marLeft w:val="0"/>
      <w:marRight w:val="0"/>
      <w:marTop w:val="0"/>
      <w:marBottom w:val="0"/>
      <w:divBdr>
        <w:top w:val="none" w:sz="0" w:space="0" w:color="auto"/>
        <w:left w:val="none" w:sz="0" w:space="0" w:color="auto"/>
        <w:bottom w:val="none" w:sz="0" w:space="0" w:color="auto"/>
        <w:right w:val="none" w:sz="0" w:space="0" w:color="auto"/>
      </w:divBdr>
    </w:div>
    <w:div w:id="208340619">
      <w:bodyDiv w:val="1"/>
      <w:marLeft w:val="0"/>
      <w:marRight w:val="0"/>
      <w:marTop w:val="0"/>
      <w:marBottom w:val="0"/>
      <w:divBdr>
        <w:top w:val="none" w:sz="0" w:space="0" w:color="auto"/>
        <w:left w:val="none" w:sz="0" w:space="0" w:color="auto"/>
        <w:bottom w:val="none" w:sz="0" w:space="0" w:color="auto"/>
        <w:right w:val="none" w:sz="0" w:space="0" w:color="auto"/>
      </w:divBdr>
    </w:div>
    <w:div w:id="249975396">
      <w:bodyDiv w:val="1"/>
      <w:marLeft w:val="0"/>
      <w:marRight w:val="0"/>
      <w:marTop w:val="0"/>
      <w:marBottom w:val="0"/>
      <w:divBdr>
        <w:top w:val="none" w:sz="0" w:space="0" w:color="auto"/>
        <w:left w:val="none" w:sz="0" w:space="0" w:color="auto"/>
        <w:bottom w:val="none" w:sz="0" w:space="0" w:color="auto"/>
        <w:right w:val="none" w:sz="0" w:space="0" w:color="auto"/>
      </w:divBdr>
    </w:div>
    <w:div w:id="1276793627">
      <w:bodyDiv w:val="1"/>
      <w:marLeft w:val="0"/>
      <w:marRight w:val="0"/>
      <w:marTop w:val="0"/>
      <w:marBottom w:val="0"/>
      <w:divBdr>
        <w:top w:val="none" w:sz="0" w:space="0" w:color="auto"/>
        <w:left w:val="none" w:sz="0" w:space="0" w:color="auto"/>
        <w:bottom w:val="none" w:sz="0" w:space="0" w:color="auto"/>
        <w:right w:val="none" w:sz="0" w:space="0" w:color="auto"/>
      </w:divBdr>
    </w:div>
    <w:div w:id="1283073220">
      <w:bodyDiv w:val="1"/>
      <w:marLeft w:val="0"/>
      <w:marRight w:val="0"/>
      <w:marTop w:val="0"/>
      <w:marBottom w:val="0"/>
      <w:divBdr>
        <w:top w:val="none" w:sz="0" w:space="0" w:color="auto"/>
        <w:left w:val="none" w:sz="0" w:space="0" w:color="auto"/>
        <w:bottom w:val="none" w:sz="0" w:space="0" w:color="auto"/>
        <w:right w:val="none" w:sz="0" w:space="0" w:color="auto"/>
      </w:divBdr>
    </w:div>
    <w:div w:id="1699232961">
      <w:bodyDiv w:val="1"/>
      <w:marLeft w:val="0"/>
      <w:marRight w:val="0"/>
      <w:marTop w:val="0"/>
      <w:marBottom w:val="0"/>
      <w:divBdr>
        <w:top w:val="none" w:sz="0" w:space="0" w:color="auto"/>
        <w:left w:val="none" w:sz="0" w:space="0" w:color="auto"/>
        <w:bottom w:val="none" w:sz="0" w:space="0" w:color="auto"/>
        <w:right w:val="none" w:sz="0" w:space="0" w:color="auto"/>
      </w:divBdr>
    </w:div>
    <w:div w:id="18209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orrowsengineers.org.uk/energy-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hill@engineeringuk.com?subject=TEEQ%20tender" TargetMode="External"/><Relationship Id="rId4" Type="http://schemas.openxmlformats.org/officeDocument/2006/relationships/settings" Target="settings.xml"/><Relationship Id="rId9" Type="http://schemas.openxmlformats.org/officeDocument/2006/relationships/hyperlink" Target="mailto:jhill@engineeringuk.com?subject=TEEQ%20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6D2E-2081-417C-8780-C85E6E7E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Hill</dc:creator>
  <cp:lastModifiedBy>Sandra Wonisch</cp:lastModifiedBy>
  <cp:revision>2</cp:revision>
  <cp:lastPrinted>2017-02-13T09:05:00Z</cp:lastPrinted>
  <dcterms:created xsi:type="dcterms:W3CDTF">2017-02-14T09:20:00Z</dcterms:created>
  <dcterms:modified xsi:type="dcterms:W3CDTF">2017-02-14T09:20:00Z</dcterms:modified>
</cp:coreProperties>
</file>